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400"/>
      </w:pPr>
    </w:p>
    <w:p>
      <w:pPr>
        <w:spacing w:after="0" w:before="0"/>
        <w:jc w:val="center"/>
      </w:pPr>
      <w:r>
        <w:rPr>
          <w:rFonts w:ascii="Arial" w:cs="Arial" w:eastAsia="Arial" w:hAnsi="Arial"/>
          <w:b/>
          <w:bCs/>
          <w:color w:val="003366"/>
          <w:sz w:val="56"/>
          <w:szCs w:val="56"/>
        </w:rPr>
        <w:t xml:space="preserve">MARKETING &amp; FINANCIAL</w:t>
      </w:r>
    </w:p>
    <w:p>
      <w:pPr>
        <w:spacing w:after="80" w:before="0"/>
        <w:jc w:val="center"/>
      </w:pPr>
      <w:r>
        <w:rPr>
          <w:rFonts w:ascii="Arial" w:cs="Arial" w:eastAsia="Arial" w:hAnsi="Arial"/>
          <w:b/>
          <w:bCs/>
          <w:color w:val="B8860B"/>
          <w:sz w:val="56"/>
          <w:szCs w:val="56"/>
        </w:rPr>
        <w:t xml:space="preserve">ANALYSIS REPORT</w:t>
      </w:r>
    </w:p>
    <w:p>
      <w:pPr>
        <w:pBdr>
          <w:bottom w:val="single" w:color="003366" w:sz="8" w:space="6"/>
        </w:pBdr>
        <w:spacing w:after="160" w:before="0"/>
        <w:jc w:val="center"/>
      </w:pPr>
      <w:r>
        <w:rPr>
          <w:rFonts w:ascii="Arial" w:cs="Arial" w:eastAsia="Arial" w:hAnsi="Arial"/>
          <w:i/>
          <w:iCs/>
          <w:color w:val="4A4A6A"/>
          <w:sz w:val="22"/>
          <w:szCs w:val="22"/>
        </w:rPr>
        <w:t xml:space="preserve">Superstore Business Intelligence  |  2014 – 2017</w:t>
      </w:r>
    </w:p>
    <w:p>
      <w:pPr>
        <w:spacing w:after="0" w:before="40"/>
      </w:pPr>
    </w:p>
    <w:p>
      <w:pPr>
        <w:spacing w:after="40" w:before="40"/>
        <w:jc w:val="center"/>
      </w:pPr>
      <w:r>
        <w:rPr>
          <w:rFonts w:ascii="Arial" w:cs="Arial" w:eastAsia="Arial" w:hAnsi="Arial"/>
          <w:color w:val="4A4A6A"/>
          <w:sz w:val="22"/>
          <w:szCs w:val="22"/>
        </w:rPr>
        <w:t xml:space="preserve">Prepared by: </w:t>
      </w:r>
      <w:r>
        <w:rPr>
          <w:rFonts w:ascii="Arial" w:cs="Arial" w:eastAsia="Arial" w:hAnsi="Arial"/>
          <w:b/>
          <w:bCs/>
          <w:color w:val="003366"/>
          <w:sz w:val="22"/>
          <w:szCs w:val="22"/>
        </w:rPr>
        <w:t xml:space="preserve">FELIX ADEDOKUN</w:t>
      </w:r>
    </w:p>
    <w:p>
      <w:pPr>
        <w:spacing w:after="40" w:before="40"/>
        <w:jc w:val="center"/>
      </w:pPr>
      <w:r>
        <w:rPr>
          <w:rFonts w:ascii="Arial" w:cs="Arial" w:eastAsia="Arial" w:hAnsi="Arial"/>
          <w:color w:val="4A4A6A"/>
          <w:sz w:val="22"/>
          <w:szCs w:val="22"/>
        </w:rPr>
        <w:t xml:space="preserve">Date: </w:t>
      </w:r>
      <w:r>
        <w:rPr>
          <w:rFonts w:ascii="Arial" w:cs="Arial" w:eastAsia="Arial" w:hAnsi="Arial"/>
          <w:b/>
          <w:bCs/>
          <w:color w:val="003366"/>
          <w:sz w:val="22"/>
          <w:szCs w:val="22"/>
        </w:rPr>
        <w:t xml:space="preserve">12th April 2026</w:t>
      </w:r>
    </w:p>
    <w:p>
      <w:pPr>
        <w:spacing w:after="40" w:before="40"/>
        <w:jc w:val="center"/>
      </w:pPr>
      <w:r>
        <w:rPr>
          <w:rFonts w:ascii="Arial" w:cs="Arial" w:eastAsia="Arial" w:hAnsi="Arial"/>
          <w:color w:val="4A4A6A"/>
          <w:sz w:val="22"/>
          <w:szCs w:val="22"/>
        </w:rPr>
        <w:t xml:space="preserve">Classification: </w:t>
      </w:r>
      <w:r>
        <w:rPr>
          <w:rFonts w:ascii="Arial" w:cs="Arial" w:eastAsia="Arial" w:hAnsi="Arial"/>
          <w:b/>
          <w:bCs/>
          <w:color w:val="003366"/>
          <w:sz w:val="22"/>
          <w:szCs w:val="22"/>
        </w:rPr>
        <w:t xml:space="preserve">Public — No Restrictions</w:t>
      </w:r>
    </w:p>
    <w:p>
      <w:pPr>
        <w:spacing w:after="0" w:before="240"/>
      </w:pPr>
    </w:p>
    <w:p>
      <w:pPr>
        <w:spacing w:after="120" w:before="0"/>
        <w:jc w:val="center"/>
      </w:pPr>
      <w:r>
        <w:rPr>
          <w:rFonts w:ascii="Arial" w:cs="Arial" w:eastAsia="Arial" w:hAnsi="Arial"/>
          <w:b/>
          <w:bCs/>
          <w:caps/>
          <w:color w:val="003366"/>
          <w:sz w:val="22"/>
          <w:szCs w:val="22"/>
        </w:rPr>
        <w:t xml:space="preserve">KEY PERFORMANCE INDICATORS AT A GLANCE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20"/>
        <w:gridCol w:w="3020"/>
        <w:gridCol w:w="3020"/>
        <w:gridCol w:w="300"/>
      </w:tblGrid>
      <w:tr>
        <w:tc>
          <w:tcPr>
            <w:tcW w:type="dxa" w:w="3020"/>
            <w:tcBorders>
              <w:top w:val="none"/>
              <w:left w:val="none"/>
              <w:bottom w:val="single" w:color="B8860B" w:sz="10"/>
              <w:right w:val="none"/>
            </w:tcBorders>
            <w:shd w:fill="003366" w:val="clear"/>
            <w:tcMar>
              <w:top w:type="dxa" w:w="180"/>
              <w:left w:type="dxa" w:w="220"/>
              <w:bottom w:type="dxa" w:w="180"/>
              <w:right w:type="dxa" w:w="220"/>
            </w:tcMar>
            <w:vAlign w:val="center"/>
          </w:tcPr>
          <w:p>
            <w:pPr>
              <w:jc w:val="center"/>
            </w:pPr>
            <w:r>
              <w:rPr>
                <w:rFonts w:ascii="Arial" w:cs="Arial" w:eastAsia="Arial" w:hAnsi="Arial"/>
                <w:b/>
                <w:bCs/>
                <w:color w:val="FFFFFF"/>
                <w:sz w:val="44"/>
                <w:szCs w:val="44"/>
              </w:rPr>
              <w:t xml:space="preserve">$2.29M</w:t>
            </w:r>
          </w:p>
          <w:p>
            <w:pPr>
              <w:jc w:val="center"/>
            </w:pPr>
            <w:r>
              <w:rPr>
                <w:rFonts w:ascii="Arial" w:cs="Arial" w:eastAsia="Arial" w:hAnsi="Arial"/>
                <w:color w:val="D0E4F7"/>
                <w:sz w:val="18"/>
                <w:szCs w:val="18"/>
              </w:rPr>
              <w:t xml:space="preserve">Total Sales</w:t>
            </w:r>
          </w:p>
        </w:tc>
        <w:tc>
          <w:tcPr>
            <w:tcW w:type="dxa" w:w="3020"/>
            <w:tcBorders>
              <w:top w:val="none"/>
              <w:left w:val="none"/>
              <w:bottom w:val="single" w:color="B8860B" w:sz="10"/>
              <w:right w:val="none"/>
            </w:tcBorders>
            <w:shd w:fill="1A5276" w:val="clear"/>
            <w:tcMar>
              <w:top w:type="dxa" w:w="180"/>
              <w:left w:type="dxa" w:w="220"/>
              <w:bottom w:type="dxa" w:w="180"/>
              <w:right w:type="dxa" w:w="220"/>
            </w:tcMar>
            <w:vAlign w:val="center"/>
          </w:tcPr>
          <w:p>
            <w:pPr>
              <w:jc w:val="center"/>
            </w:pPr>
            <w:r>
              <w:rPr>
                <w:rFonts w:ascii="Arial" w:cs="Arial" w:eastAsia="Arial" w:hAnsi="Arial"/>
                <w:b/>
                <w:bCs/>
                <w:color w:val="FFFFFF"/>
                <w:sz w:val="44"/>
                <w:szCs w:val="44"/>
              </w:rPr>
              <w:t xml:space="preserve">$286K</w:t>
            </w:r>
          </w:p>
          <w:p>
            <w:pPr>
              <w:jc w:val="center"/>
            </w:pPr>
            <w:r>
              <w:rPr>
                <w:rFonts w:ascii="Arial" w:cs="Arial" w:eastAsia="Arial" w:hAnsi="Arial"/>
                <w:color w:val="D0E4F7"/>
                <w:sz w:val="18"/>
                <w:szCs w:val="18"/>
              </w:rPr>
              <w:t xml:space="preserve">Total Profit</w:t>
            </w:r>
          </w:p>
        </w:tc>
        <w:tc>
          <w:tcPr>
            <w:tcW w:type="dxa" w:w="3020"/>
            <w:tcBorders>
              <w:top w:val="none"/>
              <w:left w:val="none"/>
              <w:bottom w:val="single" w:color="B8860B" w:sz="10"/>
              <w:right w:val="none"/>
            </w:tcBorders>
            <w:shd w:fill="003366" w:val="clear"/>
            <w:tcMar>
              <w:top w:type="dxa" w:w="180"/>
              <w:left w:type="dxa" w:w="220"/>
              <w:bottom w:type="dxa" w:w="180"/>
              <w:right w:type="dxa" w:w="220"/>
            </w:tcMar>
            <w:vAlign w:val="center"/>
          </w:tcPr>
          <w:p>
            <w:pPr>
              <w:jc w:val="center"/>
            </w:pPr>
            <w:r>
              <w:rPr>
                <w:rFonts w:ascii="Arial" w:cs="Arial" w:eastAsia="Arial" w:hAnsi="Arial"/>
                <w:b/>
                <w:bCs/>
                <w:color w:val="FFFFFF"/>
                <w:sz w:val="44"/>
                <w:szCs w:val="44"/>
              </w:rPr>
              <w:t xml:space="preserve">9,999</w:t>
            </w:r>
          </w:p>
          <w:p>
            <w:pPr>
              <w:jc w:val="center"/>
            </w:pPr>
            <w:r>
              <w:rPr>
                <w:rFonts w:ascii="Arial" w:cs="Arial" w:eastAsia="Arial" w:hAnsi="Arial"/>
                <w:color w:val="D0E4F7"/>
                <w:sz w:val="18"/>
                <w:szCs w:val="18"/>
              </w:rPr>
              <w:t xml:space="preserve">Total Orders</w:t>
            </w:r>
          </w:p>
        </w:tc>
        <w:tc>
          <w:tcPr>
            <w:tcW w:type="dxa" w:w="300"/>
            <w:tcBorders>
              <w:top w:val="none"/>
              <w:left w:val="none"/>
              <w:bottom w:val="none"/>
              <w:right w:val="none"/>
            </w:tcBorders>
          </w:tcPr>
          <w:p/>
        </w:tc>
      </w:tr>
    </w:tbl>
    <w:p>
      <w:r>
        <w:br w:type="page"/>
      </w:r>
    </w:p>
    <w:p>
      <w:pPr>
        <w:pBdr>
          <w:bottom w:val="single" w:color="003366" w:sz="6" w:space="4"/>
        </w:pBdr>
        <w:spacing w:after="120" w:before="360"/>
      </w:pPr>
      <w:r>
        <w:rPr>
          <w:rFonts w:ascii="Arial" w:cs="Arial" w:eastAsia="Arial" w:hAnsi="Arial"/>
          <w:b/>
          <w:bCs/>
          <w:caps/>
          <w:color w:val="003366"/>
          <w:sz w:val="28"/>
          <w:szCs w:val="28"/>
        </w:rPr>
        <w:t xml:space="preserve">Section 1 — Executive Summary</w:t>
      </w:r>
    </w:p>
    <w:p>
      <w:pPr>
        <w:spacing w:after="0" w:before="60"/>
      </w:pPr>
    </w:p>
    <w:p>
      <w:pPr>
        <w:spacing w:after="80" w:before="80"/>
        <w:jc w:val="both"/>
      </w:pPr>
      <w:r>
        <w:rPr>
          <w:rFonts w:ascii="Arial" w:cs="Arial" w:eastAsia="Arial" w:hAnsi="Arial"/>
          <w:b w:val="false"/>
          <w:bCs w:val="false"/>
          <w:i w:val="false"/>
          <w:iCs w:val="false"/>
          <w:color w:val="1A1A2E"/>
          <w:sz w:val="22"/>
          <w:szCs w:val="22"/>
        </w:rPr>
        <w:t xml:space="preserve">This report presents a comprehensive analysis of a Superstore's marketing performance and financial outcomes for the period of 2014 to 2017. It is intended for senior leadership, department heads, and key stakeholders to support strategic decision-making.</w:t>
      </w:r>
    </w:p>
    <w:p>
      <w:pPr>
        <w:spacing w:after="0" w:before="60"/>
      </w:pPr>
    </w:p>
    <w:p>
      <w:pPr>
        <w:spacing w:after="80" w:before="80"/>
        <w:jc w:val="both"/>
      </w:pPr>
      <w:r>
        <w:rPr>
          <w:rFonts w:ascii="Arial" w:cs="Arial" w:eastAsia="Arial" w:hAnsi="Arial"/>
          <w:b w:val="false"/>
          <w:bCs w:val="false"/>
          <w:i w:val="false"/>
          <w:iCs w:val="false"/>
          <w:color w:val="1A1A2E"/>
          <w:sz w:val="22"/>
          <w:szCs w:val="22"/>
        </w:rPr>
        <w:t xml:space="preserve">The analysis encompasses an executive overview, regional performance, product performance, customer segment analysis, discount impact analysis, and forward-looking recommendations aligned with the organisation's growth objectives.</w:t>
      </w:r>
    </w:p>
    <w:p>
      <w:pPr>
        <w:spacing w:after="0" w:before="120"/>
      </w:pPr>
    </w:p>
    <w:p>
      <w:pPr>
        <w:pBdr>
          <w:bottom w:val="single" w:color="003366" w:sz="6" w:space="4"/>
        </w:pBdr>
        <w:spacing w:after="120" w:before="360"/>
      </w:pPr>
      <w:r>
        <w:rPr>
          <w:rFonts w:ascii="Arial" w:cs="Arial" w:eastAsia="Arial" w:hAnsi="Arial"/>
          <w:b/>
          <w:bCs/>
          <w:caps/>
          <w:color w:val="003366"/>
          <w:sz w:val="28"/>
          <w:szCs w:val="28"/>
        </w:rPr>
        <w:t xml:space="preserve">Section 2 — Project Objectives</w:t>
      </w:r>
    </w:p>
    <w:p>
      <w:pPr>
        <w:spacing w:after="0" w:before="60"/>
      </w:pPr>
    </w:p>
    <w:p>
      <w:pPr>
        <w:spacing w:after="80" w:before="80"/>
        <w:jc w:val="both"/>
      </w:pPr>
      <w:r>
        <w:rPr>
          <w:rFonts w:ascii="Arial" w:cs="Arial" w:eastAsia="Arial" w:hAnsi="Arial"/>
          <w:b w:val="false"/>
          <w:bCs w:val="false"/>
          <w:i w:val="false"/>
          <w:iCs w:val="false"/>
          <w:color w:val="1A1A2E"/>
          <w:sz w:val="22"/>
          <w:szCs w:val="22"/>
        </w:rPr>
        <w:t xml:space="preserve">The company faces challenges in understanding why certain product categories generate high sales but low profitability. Management requires data-driven insights into regional performance, product performance, customer segments, and discount strategies to improve overall profitability.</w:t>
      </w:r>
    </w:p>
    <w:p>
      <w:pPr>
        <w:spacing w:after="0" w:before="80"/>
      </w:pPr>
    </w:p>
    <w:p>
      <w:pPr>
        <w:spacing w:after="80" w:before="80"/>
        <w:jc w:val="both"/>
      </w:pPr>
      <w:r>
        <w:rPr>
          <w:rFonts w:ascii="Arial" w:cs="Arial" w:eastAsia="Arial" w:hAnsi="Arial"/>
          <w:b/>
          <w:bCs/>
          <w:i w:val="false"/>
          <w:iCs w:val="false"/>
          <w:color w:val="1A1A2E"/>
          <w:sz w:val="22"/>
          <w:szCs w:val="22"/>
        </w:rPr>
        <w:t xml:space="preserve">The primary analytical objectives guiding this report are:</w:t>
      </w:r>
    </w:p>
    <w:p>
      <w:pPr>
        <w:spacing w:after="0" w:before="40"/>
      </w:pPr>
    </w:p>
    <w:p>
      <w:pPr>
        <w:spacing w:after="80" w:before="240"/>
      </w:pPr>
      <w:r>
        <w:rPr>
          <w:rFonts w:ascii="Arial" w:cs="Arial" w:eastAsia="Arial" w:hAnsi="Arial"/>
          <w:b/>
          <w:bCs/>
          <w:color w:val="1A5276"/>
          <w:sz w:val="24"/>
          <w:szCs w:val="24"/>
        </w:rPr>
        <w:t xml:space="preserve">Executive Dashboard</w:t>
      </w:r>
    </w:p>
    <w:p>
      <w:pPr>
        <w:pStyle w:val="ListParagraph"/>
        <w:numPr>
          <w:ilvl w:val="0"/>
          <w:numId w:val="2"/>
        </w:numPr>
        <w:spacing w:after="40" w:before="40"/>
      </w:pPr>
      <w:r>
        <w:rPr>
          <w:rFonts w:ascii="Arial" w:cs="Arial" w:eastAsia="Arial" w:hAnsi="Arial"/>
          <w:b w:val="false"/>
          <w:bCs w:val="false"/>
          <w:color w:val="1A1A2E"/>
          <w:sz w:val="22"/>
          <w:szCs w:val="22"/>
        </w:rPr>
        <w:t xml:space="preserve">Key Performance Indicators (KPIs)</w:t>
      </w:r>
    </w:p>
    <w:p>
      <w:pPr>
        <w:pStyle w:val="ListParagraph"/>
        <w:numPr>
          <w:ilvl w:val="0"/>
          <w:numId w:val="2"/>
        </w:numPr>
        <w:spacing w:after="40" w:before="40"/>
      </w:pPr>
      <w:r>
        <w:rPr>
          <w:rFonts w:ascii="Arial" w:cs="Arial" w:eastAsia="Arial" w:hAnsi="Arial"/>
          <w:b w:val="false"/>
          <w:bCs w:val="false"/>
          <w:color w:val="1A1A2E"/>
          <w:sz w:val="22"/>
          <w:szCs w:val="22"/>
        </w:rPr>
        <w:t xml:space="preserve">Sales Trend with Profit Analysis</w:t>
      </w:r>
    </w:p>
    <w:p>
      <w:pPr>
        <w:spacing w:after="80" w:before="240"/>
      </w:pPr>
      <w:r>
        <w:rPr>
          <w:rFonts w:ascii="Arial" w:cs="Arial" w:eastAsia="Arial" w:hAnsi="Arial"/>
          <w:b/>
          <w:bCs/>
          <w:color w:val="1A5276"/>
          <w:sz w:val="24"/>
          <w:szCs w:val="24"/>
        </w:rPr>
        <w:t xml:space="preserve">Regional Performance</w:t>
      </w:r>
    </w:p>
    <w:p>
      <w:pPr>
        <w:pStyle w:val="ListParagraph"/>
        <w:numPr>
          <w:ilvl w:val="0"/>
          <w:numId w:val="2"/>
        </w:numPr>
        <w:spacing w:after="40" w:before="40"/>
      </w:pPr>
      <w:r>
        <w:rPr>
          <w:rFonts w:ascii="Arial" w:cs="Arial" w:eastAsia="Arial" w:hAnsi="Arial"/>
          <w:b w:val="false"/>
          <w:bCs w:val="false"/>
          <w:color w:val="1A1A2E"/>
          <w:sz w:val="22"/>
          <w:szCs w:val="22"/>
        </w:rPr>
        <w:t xml:space="preserve">Which region generates the most sales?</w:t>
      </w:r>
    </w:p>
    <w:p>
      <w:pPr>
        <w:pStyle w:val="ListParagraph"/>
        <w:numPr>
          <w:ilvl w:val="0"/>
          <w:numId w:val="2"/>
        </w:numPr>
        <w:spacing w:after="40" w:before="40"/>
      </w:pPr>
      <w:r>
        <w:rPr>
          <w:rFonts w:ascii="Arial" w:cs="Arial" w:eastAsia="Arial" w:hAnsi="Arial"/>
          <w:b w:val="false"/>
          <w:bCs w:val="false"/>
          <w:color w:val="1A1A2E"/>
          <w:sz w:val="22"/>
          <w:szCs w:val="22"/>
        </w:rPr>
        <w:t xml:space="preserve">Which region produces the most profit?</w:t>
      </w:r>
    </w:p>
    <w:p>
      <w:pPr>
        <w:pStyle w:val="ListParagraph"/>
        <w:numPr>
          <w:ilvl w:val="0"/>
          <w:numId w:val="2"/>
        </w:numPr>
        <w:spacing w:after="40" w:before="40"/>
      </w:pPr>
      <w:r>
        <w:rPr>
          <w:rFonts w:ascii="Arial" w:cs="Arial" w:eastAsia="Arial" w:hAnsi="Arial"/>
          <w:b w:val="false"/>
          <w:bCs w:val="false"/>
          <w:color w:val="1A1A2E"/>
          <w:sz w:val="22"/>
          <w:szCs w:val="22"/>
        </w:rPr>
        <w:t xml:space="preserve">Which states are operating at a loss?</w:t>
      </w:r>
    </w:p>
    <w:p>
      <w:pPr>
        <w:spacing w:after="80" w:before="240"/>
      </w:pPr>
      <w:r>
        <w:rPr>
          <w:rFonts w:ascii="Arial" w:cs="Arial" w:eastAsia="Arial" w:hAnsi="Arial"/>
          <w:b/>
          <w:bCs/>
          <w:color w:val="1A5276"/>
          <w:sz w:val="24"/>
          <w:szCs w:val="24"/>
        </w:rPr>
        <w:t xml:space="preserve">Product Performance</w:t>
      </w:r>
    </w:p>
    <w:p>
      <w:pPr>
        <w:pStyle w:val="ListParagraph"/>
        <w:numPr>
          <w:ilvl w:val="0"/>
          <w:numId w:val="2"/>
        </w:numPr>
        <w:spacing w:after="40" w:before="40"/>
      </w:pPr>
      <w:r>
        <w:rPr>
          <w:rFonts w:ascii="Arial" w:cs="Arial" w:eastAsia="Arial" w:hAnsi="Arial"/>
          <w:b w:val="false"/>
          <w:bCs w:val="false"/>
          <w:color w:val="1A1A2E"/>
          <w:sz w:val="22"/>
          <w:szCs w:val="22"/>
        </w:rPr>
        <w:t xml:space="preserve">Which category generates the highest sales?</w:t>
      </w:r>
    </w:p>
    <w:p>
      <w:pPr>
        <w:pStyle w:val="ListParagraph"/>
        <w:numPr>
          <w:ilvl w:val="0"/>
          <w:numId w:val="2"/>
        </w:numPr>
        <w:spacing w:after="40" w:before="40"/>
      </w:pPr>
      <w:r>
        <w:rPr>
          <w:rFonts w:ascii="Arial" w:cs="Arial" w:eastAsia="Arial" w:hAnsi="Arial"/>
          <w:b w:val="false"/>
          <w:bCs w:val="false"/>
          <w:color w:val="1A1A2E"/>
          <w:sz w:val="22"/>
          <w:szCs w:val="22"/>
        </w:rPr>
        <w:t xml:space="preserve">Which products generate losses?</w:t>
      </w:r>
    </w:p>
    <w:p>
      <w:pPr>
        <w:pStyle w:val="ListParagraph"/>
        <w:numPr>
          <w:ilvl w:val="0"/>
          <w:numId w:val="2"/>
        </w:numPr>
        <w:spacing w:after="40" w:before="40"/>
      </w:pPr>
      <w:r>
        <w:rPr>
          <w:rFonts w:ascii="Arial" w:cs="Arial" w:eastAsia="Arial" w:hAnsi="Arial"/>
          <w:b w:val="false"/>
          <w:bCs w:val="false"/>
          <w:color w:val="1A1A2E"/>
          <w:sz w:val="22"/>
          <w:szCs w:val="22"/>
        </w:rPr>
        <w:t xml:space="preserve">Which products should be promoted?</w:t>
      </w:r>
    </w:p>
    <w:p>
      <w:pPr>
        <w:spacing w:after="80" w:before="240"/>
      </w:pPr>
      <w:r>
        <w:rPr>
          <w:rFonts w:ascii="Arial" w:cs="Arial" w:eastAsia="Arial" w:hAnsi="Arial"/>
          <w:b/>
          <w:bCs/>
          <w:color w:val="1A5276"/>
          <w:sz w:val="24"/>
          <w:szCs w:val="24"/>
        </w:rPr>
        <w:t xml:space="preserve">Customer Segment Analysis</w:t>
      </w:r>
    </w:p>
    <w:p>
      <w:pPr>
        <w:pStyle w:val="ListParagraph"/>
        <w:numPr>
          <w:ilvl w:val="0"/>
          <w:numId w:val="2"/>
        </w:numPr>
        <w:spacing w:after="40" w:before="40"/>
      </w:pPr>
      <w:r>
        <w:rPr>
          <w:rFonts w:ascii="Arial" w:cs="Arial" w:eastAsia="Arial" w:hAnsi="Arial"/>
          <w:b w:val="false"/>
          <w:bCs w:val="false"/>
          <w:color w:val="1A1A2E"/>
          <w:sz w:val="22"/>
          <w:szCs w:val="22"/>
        </w:rPr>
        <w:t xml:space="preserve">Which customer segment generates the highest revenue?</w:t>
      </w:r>
    </w:p>
    <w:p>
      <w:pPr>
        <w:pStyle w:val="ListParagraph"/>
        <w:numPr>
          <w:ilvl w:val="0"/>
          <w:numId w:val="2"/>
        </w:numPr>
        <w:spacing w:after="40" w:before="40"/>
      </w:pPr>
      <w:r>
        <w:rPr>
          <w:rFonts w:ascii="Arial" w:cs="Arial" w:eastAsia="Arial" w:hAnsi="Arial"/>
          <w:b w:val="false"/>
          <w:bCs w:val="false"/>
          <w:color w:val="1A1A2E"/>
          <w:sz w:val="22"/>
          <w:szCs w:val="22"/>
        </w:rPr>
        <w:t xml:space="preserve">Which segment is the most profitable?</w:t>
      </w:r>
    </w:p>
    <w:p>
      <w:pPr>
        <w:spacing w:after="80" w:before="240"/>
      </w:pPr>
      <w:r>
        <w:rPr>
          <w:rFonts w:ascii="Arial" w:cs="Arial" w:eastAsia="Arial" w:hAnsi="Arial"/>
          <w:b/>
          <w:bCs/>
          <w:color w:val="1A5276"/>
          <w:sz w:val="24"/>
          <w:szCs w:val="24"/>
        </w:rPr>
        <w:t xml:space="preserve">Discount Impact Analysis</w:t>
      </w:r>
    </w:p>
    <w:p>
      <w:pPr>
        <w:pStyle w:val="ListParagraph"/>
        <w:numPr>
          <w:ilvl w:val="0"/>
          <w:numId w:val="2"/>
        </w:numPr>
        <w:spacing w:after="40" w:before="40"/>
      </w:pPr>
      <w:r>
        <w:rPr>
          <w:rFonts w:ascii="Arial" w:cs="Arial" w:eastAsia="Arial" w:hAnsi="Arial"/>
          <w:b w:val="false"/>
          <w:bCs w:val="false"/>
          <w:color w:val="1A1A2E"/>
          <w:sz w:val="22"/>
          <w:szCs w:val="22"/>
        </w:rPr>
        <w:t xml:space="preserve">How does discount strategy affect profit?</w:t>
      </w:r>
    </w:p>
    <w:p>
      <w:pPr>
        <w:pStyle w:val="ListParagraph"/>
        <w:numPr>
          <w:ilvl w:val="0"/>
          <w:numId w:val="2"/>
        </w:numPr>
        <w:spacing w:after="40" w:before="40"/>
      </w:pPr>
      <w:r>
        <w:rPr>
          <w:rFonts w:ascii="Arial" w:cs="Arial" w:eastAsia="Arial" w:hAnsi="Arial"/>
          <w:b w:val="false"/>
          <w:bCs w:val="false"/>
          <w:color w:val="1A1A2E"/>
          <w:sz w:val="22"/>
          <w:szCs w:val="22"/>
        </w:rPr>
        <w:t xml:space="preserve">Do higher discounts reduce profitability?</w:t>
      </w:r>
    </w:p>
    <w:p>
      <w:pPr>
        <w:pStyle w:val="ListParagraph"/>
        <w:numPr>
          <w:ilvl w:val="0"/>
          <w:numId w:val="2"/>
        </w:numPr>
        <w:spacing w:after="40" w:before="40"/>
      </w:pPr>
      <w:r>
        <w:rPr>
          <w:rFonts w:ascii="Arial" w:cs="Arial" w:eastAsia="Arial" w:hAnsi="Arial"/>
          <w:b w:val="false"/>
          <w:bCs w:val="false"/>
          <w:color w:val="1A1A2E"/>
          <w:sz w:val="22"/>
          <w:szCs w:val="22"/>
        </w:rPr>
        <w:t xml:space="preserve">Which category has the highest discount rate?</w:t>
      </w:r>
    </w:p>
    <w:p>
      <w:pPr>
        <w:spacing w:after="0" w:before="120"/>
      </w:pPr>
    </w:p>
    <w:p>
      <w:pPr>
        <w:pBdr>
          <w:bottom w:val="single" w:color="003366" w:sz="6" w:space="4"/>
        </w:pBdr>
        <w:spacing w:after="120" w:before="360"/>
      </w:pPr>
      <w:r>
        <w:rPr>
          <w:rFonts w:ascii="Arial" w:cs="Arial" w:eastAsia="Arial" w:hAnsi="Arial"/>
          <w:b/>
          <w:bCs/>
          <w:caps/>
          <w:color w:val="003366"/>
          <w:sz w:val="28"/>
          <w:szCs w:val="28"/>
        </w:rPr>
        <w:t xml:space="preserve">Section 3 — Scope of Analysis</w:t>
      </w: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rPr>
          <w:tblHeader/>
        </w:trPr>
        <w:tc>
          <w:tcPr>
            <w:tcW w:type="dxa" w:w="3200"/>
            <w:tcBorders>
              <w:top w:val="single" w:color="AABBCC" w:sz="1"/>
              <w:left w:val="single" w:color="AABBCC" w:sz="1"/>
              <w:bottom w:val="single" w:color="AABBCC" w:sz="1"/>
              <w:right w:val="single" w:color="AABBCC" w:sz="1"/>
            </w:tcBorders>
            <w:shd w:fill="003366" w:val="clear"/>
            <w:tcMar>
              <w:top w:type="dxa" w:w="100"/>
              <w:left w:type="dxa" w:w="140"/>
              <w:bottom w:type="dxa" w:w="100"/>
              <w:right w:type="dxa" w:w="140"/>
            </w:tcMar>
          </w:tcPr>
          <w:p>
            <w:r>
              <w:rPr>
                <w:rFonts w:ascii="Arial" w:cs="Arial" w:eastAsia="Arial" w:hAnsi="Arial"/>
                <w:b/>
                <w:bCs/>
                <w:color w:val="FFFFFF"/>
                <w:sz w:val="20"/>
                <w:szCs w:val="20"/>
              </w:rPr>
              <w:t xml:space="preserve">Scope Area</w:t>
            </w:r>
          </w:p>
        </w:tc>
        <w:tc>
          <w:tcPr>
            <w:tcW w:type="dxa" w:w="6160"/>
            <w:tcBorders>
              <w:top w:val="single" w:color="AABBCC" w:sz="1"/>
              <w:left w:val="single" w:color="AABBCC" w:sz="1"/>
              <w:bottom w:val="single" w:color="AABBCC" w:sz="1"/>
              <w:right w:val="single" w:color="AABBCC" w:sz="1"/>
            </w:tcBorders>
            <w:shd w:fill="003366" w:val="clear"/>
            <w:tcMar>
              <w:top w:type="dxa" w:w="100"/>
              <w:left w:type="dxa" w:w="140"/>
              <w:bottom w:type="dxa" w:w="100"/>
              <w:right w:type="dxa" w:w="140"/>
            </w:tcMar>
          </w:tcPr>
          <w:p>
            <w:r>
              <w:rPr>
                <w:rFonts w:ascii="Arial" w:cs="Arial" w:eastAsia="Arial" w:hAnsi="Arial"/>
                <w:b/>
                <w:bCs/>
                <w:color w:val="FFFFFF"/>
                <w:sz w:val="20"/>
                <w:szCs w:val="20"/>
              </w:rPr>
              <w:t xml:space="preserve">Description</w:t>
            </w:r>
          </w:p>
        </w:tc>
      </w:tr>
      <w:tr>
        <w:trPr>
          <w:tblHeader w:val="false"/>
        </w:trPr>
        <w:tc>
          <w:tcPr>
            <w:tcW w:type="dxa" w:w="3200"/>
            <w:tcBorders>
              <w:top w:val="single" w:color="AABBCC" w:sz="1"/>
              <w:left w:val="single" w:color="AABBCC" w:sz="1"/>
              <w:bottom w:val="single" w:color="AABBCC" w:sz="1"/>
              <w:right w:val="single" w:color="AABBCC" w:sz="1"/>
            </w:tcBorders>
            <w:shd w:fill="EBF2FA" w:val="clear"/>
            <w:tcMar>
              <w:top w:type="dxa" w:w="100"/>
              <w:left w:type="dxa" w:w="140"/>
              <w:bottom w:type="dxa" w:w="100"/>
              <w:right w:type="dxa" w:w="140"/>
            </w:tcMar>
          </w:tcPr>
          <w:p>
            <w:r>
              <w:rPr>
                <w:rFonts w:ascii="Arial" w:cs="Arial" w:eastAsia="Arial" w:hAnsi="Arial"/>
                <w:b w:val="false"/>
                <w:bCs w:val="false"/>
                <w:color w:val="1A1A2E"/>
                <w:sz w:val="20"/>
                <w:szCs w:val="20"/>
              </w:rPr>
              <w:t xml:space="preserve">Time Period</w:t>
            </w:r>
          </w:p>
        </w:tc>
        <w:tc>
          <w:tcPr>
            <w:tcW w:type="dxa" w:w="6160"/>
            <w:tcBorders>
              <w:top w:val="single" w:color="AABBCC" w:sz="1"/>
              <w:left w:val="single" w:color="AABBCC" w:sz="1"/>
              <w:bottom w:val="single" w:color="AABBCC" w:sz="1"/>
              <w:right w:val="single" w:color="AABBCC" w:sz="1"/>
            </w:tcBorders>
            <w:shd w:fill="FFFFFF" w:val="clear"/>
            <w:tcMar>
              <w:top w:type="dxa" w:w="100"/>
              <w:left w:type="dxa" w:w="140"/>
              <w:bottom w:type="dxa" w:w="100"/>
              <w:right w:type="dxa" w:w="140"/>
            </w:tcMar>
          </w:tcPr>
          <w:p>
            <w:r>
              <w:rPr>
                <w:rFonts w:ascii="Arial" w:cs="Arial" w:eastAsia="Arial" w:hAnsi="Arial"/>
                <w:b w:val="false"/>
                <w:bCs w:val="false"/>
                <w:color w:val="1A1A2E"/>
                <w:sz w:val="20"/>
                <w:szCs w:val="20"/>
              </w:rPr>
              <w:t xml:space="preserve">2014 – 2017</w:t>
            </w:r>
          </w:p>
        </w:tc>
      </w:tr>
      <w:tr>
        <w:trPr>
          <w:tblHeader w:val="false"/>
        </w:trPr>
        <w:tc>
          <w:tcPr>
            <w:tcW w:type="dxa" w:w="3200"/>
            <w:tcBorders>
              <w:top w:val="single" w:color="AABBCC" w:sz="1"/>
              <w:left w:val="single" w:color="AABBCC" w:sz="1"/>
              <w:bottom w:val="single" w:color="AABBCC" w:sz="1"/>
              <w:right w:val="single" w:color="AABBCC" w:sz="1"/>
            </w:tcBorders>
            <w:shd w:fill="EBF2FA" w:val="clear"/>
            <w:tcMar>
              <w:top w:type="dxa" w:w="100"/>
              <w:left w:type="dxa" w:w="140"/>
              <w:bottom w:type="dxa" w:w="100"/>
              <w:right w:type="dxa" w:w="140"/>
            </w:tcMar>
          </w:tcPr>
          <w:p>
            <w:r>
              <w:rPr>
                <w:rFonts w:ascii="Arial" w:cs="Arial" w:eastAsia="Arial" w:hAnsi="Arial"/>
                <w:b w:val="false"/>
                <w:bCs w:val="false"/>
                <w:color w:val="1A1A2E"/>
                <w:sz w:val="20"/>
                <w:szCs w:val="20"/>
              </w:rPr>
              <w:t xml:space="preserve">Markets / Regions</w:t>
            </w:r>
          </w:p>
        </w:tc>
        <w:tc>
          <w:tcPr>
            <w:tcW w:type="dxa" w:w="6160"/>
            <w:tcBorders>
              <w:top w:val="single" w:color="AABBCC" w:sz="1"/>
              <w:left w:val="single" w:color="AABBCC" w:sz="1"/>
              <w:bottom w:val="single" w:color="AABBCC" w:sz="1"/>
              <w:right w:val="single" w:color="AABBCC" w:sz="1"/>
            </w:tcBorders>
            <w:shd w:fill="FFFFFF" w:val="clear"/>
            <w:tcMar>
              <w:top w:type="dxa" w:w="100"/>
              <w:left w:type="dxa" w:w="140"/>
              <w:bottom w:type="dxa" w:w="100"/>
              <w:right w:type="dxa" w:w="140"/>
            </w:tcMar>
          </w:tcPr>
          <w:p>
            <w:r>
              <w:rPr>
                <w:rFonts w:ascii="Arial" w:cs="Arial" w:eastAsia="Arial" w:hAnsi="Arial"/>
                <w:b w:val="false"/>
                <w:bCs w:val="false"/>
                <w:color w:val="1A1A2E"/>
                <w:sz w:val="20"/>
                <w:szCs w:val="20"/>
              </w:rPr>
              <w:t xml:space="preserve">United States</w:t>
            </w:r>
          </w:p>
        </w:tc>
      </w:tr>
      <w:tr>
        <w:trPr>
          <w:tblHeader w:val="false"/>
        </w:trPr>
        <w:tc>
          <w:tcPr>
            <w:tcW w:type="dxa" w:w="3200"/>
            <w:tcBorders>
              <w:top w:val="single" w:color="AABBCC" w:sz="1"/>
              <w:left w:val="single" w:color="AABBCC" w:sz="1"/>
              <w:bottom w:val="single" w:color="AABBCC" w:sz="1"/>
              <w:right w:val="single" w:color="AABBCC" w:sz="1"/>
            </w:tcBorders>
            <w:shd w:fill="EBF2FA" w:val="clear"/>
            <w:tcMar>
              <w:top w:type="dxa" w:w="100"/>
              <w:left w:type="dxa" w:w="140"/>
              <w:bottom w:type="dxa" w:w="100"/>
              <w:right w:type="dxa" w:w="140"/>
            </w:tcMar>
          </w:tcPr>
          <w:p>
            <w:r>
              <w:rPr>
                <w:rFonts w:ascii="Arial" w:cs="Arial" w:eastAsia="Arial" w:hAnsi="Arial"/>
                <w:b w:val="false"/>
                <w:bCs w:val="false"/>
                <w:color w:val="1A1A2E"/>
                <w:sz w:val="20"/>
                <w:szCs w:val="20"/>
              </w:rPr>
              <w:t xml:space="preserve">Products</w:t>
            </w:r>
          </w:p>
        </w:tc>
        <w:tc>
          <w:tcPr>
            <w:tcW w:type="dxa" w:w="6160"/>
            <w:tcBorders>
              <w:top w:val="single" w:color="AABBCC" w:sz="1"/>
              <w:left w:val="single" w:color="AABBCC" w:sz="1"/>
              <w:bottom w:val="single" w:color="AABBCC" w:sz="1"/>
              <w:right w:val="single" w:color="AABBCC" w:sz="1"/>
            </w:tcBorders>
            <w:shd w:fill="FFFFFF" w:val="clear"/>
            <w:tcMar>
              <w:top w:type="dxa" w:w="100"/>
              <w:left w:type="dxa" w:w="140"/>
              <w:bottom w:type="dxa" w:w="100"/>
              <w:right w:type="dxa" w:w="140"/>
            </w:tcMar>
          </w:tcPr>
          <w:p>
            <w:r>
              <w:rPr>
                <w:rFonts w:ascii="Arial" w:cs="Arial" w:eastAsia="Arial" w:hAnsi="Arial"/>
                <w:b w:val="false"/>
                <w:bCs w:val="false"/>
                <w:color w:val="1A1A2E"/>
                <w:sz w:val="20"/>
                <w:szCs w:val="20"/>
              </w:rPr>
              <w:t xml:space="preserve">Office Supplies, Furniture, Technology</w:t>
            </w:r>
          </w:p>
        </w:tc>
      </w:tr>
      <w:tr>
        <w:trPr>
          <w:tblHeader w:val="false"/>
        </w:trPr>
        <w:tc>
          <w:tcPr>
            <w:tcW w:type="dxa" w:w="3200"/>
            <w:tcBorders>
              <w:top w:val="single" w:color="AABBCC" w:sz="1"/>
              <w:left w:val="single" w:color="AABBCC" w:sz="1"/>
              <w:bottom w:val="single" w:color="AABBCC" w:sz="1"/>
              <w:right w:val="single" w:color="AABBCC" w:sz="1"/>
            </w:tcBorders>
            <w:shd w:fill="EBF2FA" w:val="clear"/>
            <w:tcMar>
              <w:top w:type="dxa" w:w="100"/>
              <w:left w:type="dxa" w:w="140"/>
              <w:bottom w:type="dxa" w:w="100"/>
              <w:right w:type="dxa" w:w="140"/>
            </w:tcMar>
          </w:tcPr>
          <w:p>
            <w:r>
              <w:rPr>
                <w:rFonts w:ascii="Arial" w:cs="Arial" w:eastAsia="Arial" w:hAnsi="Arial"/>
                <w:b w:val="false"/>
                <w:bCs w:val="false"/>
                <w:color w:val="1A1A2E"/>
                <w:sz w:val="20"/>
                <w:szCs w:val="20"/>
              </w:rPr>
              <w:t xml:space="preserve">Customer Segments</w:t>
            </w:r>
          </w:p>
        </w:tc>
        <w:tc>
          <w:tcPr>
            <w:tcW w:type="dxa" w:w="6160"/>
            <w:tcBorders>
              <w:top w:val="single" w:color="AABBCC" w:sz="1"/>
              <w:left w:val="single" w:color="AABBCC" w:sz="1"/>
              <w:bottom w:val="single" w:color="AABBCC" w:sz="1"/>
              <w:right w:val="single" w:color="AABBCC" w:sz="1"/>
            </w:tcBorders>
            <w:shd w:fill="FFFFFF" w:val="clear"/>
            <w:tcMar>
              <w:top w:type="dxa" w:w="100"/>
              <w:left w:type="dxa" w:w="140"/>
              <w:bottom w:type="dxa" w:w="100"/>
              <w:right w:type="dxa" w:w="140"/>
            </w:tcMar>
          </w:tcPr>
          <w:p>
            <w:r>
              <w:rPr>
                <w:rFonts w:ascii="Arial" w:cs="Arial" w:eastAsia="Arial" w:hAnsi="Arial"/>
                <w:b w:val="false"/>
                <w:bCs w:val="false"/>
                <w:color w:val="1A1A2E"/>
                <w:sz w:val="20"/>
                <w:szCs w:val="20"/>
              </w:rPr>
              <w:t xml:space="preserve">Consumer, Corporate, Home Office</w:t>
            </w:r>
          </w:p>
        </w:tc>
      </w:tr>
      <w:tr>
        <w:trPr>
          <w:tblHeader w:val="false"/>
        </w:trPr>
        <w:tc>
          <w:tcPr>
            <w:tcW w:type="dxa" w:w="3200"/>
            <w:tcBorders>
              <w:top w:val="single" w:color="AABBCC" w:sz="1"/>
              <w:left w:val="single" w:color="AABBCC" w:sz="1"/>
              <w:bottom w:val="single" w:color="AABBCC" w:sz="1"/>
              <w:right w:val="single" w:color="AABBCC" w:sz="1"/>
            </w:tcBorders>
            <w:shd w:fill="EBF2FA" w:val="clear"/>
            <w:tcMar>
              <w:top w:type="dxa" w:w="100"/>
              <w:left w:type="dxa" w:w="140"/>
              <w:bottom w:type="dxa" w:w="100"/>
              <w:right w:type="dxa" w:w="140"/>
            </w:tcMar>
          </w:tcPr>
          <w:p>
            <w:r>
              <w:rPr>
                <w:rFonts w:ascii="Arial" w:cs="Arial" w:eastAsia="Arial" w:hAnsi="Arial"/>
                <w:b w:val="false"/>
                <w:bCs w:val="false"/>
                <w:color w:val="1A1A2E"/>
                <w:sz w:val="20"/>
                <w:szCs w:val="20"/>
              </w:rPr>
              <w:t xml:space="preserve">Data Sources</w:t>
            </w:r>
          </w:p>
        </w:tc>
        <w:tc>
          <w:tcPr>
            <w:tcW w:type="dxa" w:w="6160"/>
            <w:tcBorders>
              <w:top w:val="single" w:color="AABBCC" w:sz="1"/>
              <w:left w:val="single" w:color="AABBCC" w:sz="1"/>
              <w:bottom w:val="single" w:color="AABBCC" w:sz="1"/>
              <w:right w:val="single" w:color="AABBCC" w:sz="1"/>
            </w:tcBorders>
            <w:shd w:fill="FFFFFF" w:val="clear"/>
            <w:tcMar>
              <w:top w:type="dxa" w:w="100"/>
              <w:left w:type="dxa" w:w="140"/>
              <w:bottom w:type="dxa" w:w="100"/>
              <w:right w:type="dxa" w:w="140"/>
            </w:tcMar>
          </w:tcPr>
          <w:p>
            <w:r>
              <w:rPr>
                <w:rFonts w:ascii="Arial" w:cs="Arial" w:eastAsia="Arial" w:hAnsi="Arial"/>
                <w:b w:val="false"/>
                <w:bCs w:val="false"/>
                <w:color w:val="1A1A2E"/>
                <w:sz w:val="20"/>
                <w:szCs w:val="20"/>
              </w:rPr>
              <w:t xml:space="preserve">Kaggle</w:t>
            </w:r>
          </w:p>
        </w:tc>
      </w:tr>
    </w:tbl>
    <w:p>
      <w:pPr>
        <w:spacing w:after="0" w:before="120"/>
      </w:pPr>
    </w:p>
    <w:p>
      <w:pPr>
        <w:pBdr>
          <w:bottom w:val="single" w:color="003366" w:sz="6" w:space="4"/>
        </w:pBdr>
        <w:spacing w:after="120" w:before="360"/>
      </w:pPr>
      <w:r>
        <w:rPr>
          <w:rFonts w:ascii="Arial" w:cs="Arial" w:eastAsia="Arial" w:hAnsi="Arial"/>
          <w:b/>
          <w:bCs/>
          <w:caps/>
          <w:color w:val="003366"/>
          <w:sz w:val="28"/>
          <w:szCs w:val="28"/>
        </w:rPr>
        <w:t xml:space="preserve">Section 4 — Tools &amp; Technologies Used</w:t>
      </w: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rPr>
          <w:tblHeader/>
        </w:trPr>
        <w:tc>
          <w:tcPr>
            <w:tcW w:type="dxa" w:w="3200"/>
            <w:tcBorders>
              <w:top w:val="single" w:color="AABBCC" w:sz="1"/>
              <w:left w:val="single" w:color="AABBCC" w:sz="1"/>
              <w:bottom w:val="single" w:color="AABBCC" w:sz="1"/>
              <w:right w:val="single" w:color="AABBCC" w:sz="1"/>
            </w:tcBorders>
            <w:shd w:fill="003366" w:val="clear"/>
            <w:tcMar>
              <w:top w:type="dxa" w:w="100"/>
              <w:left w:type="dxa" w:w="140"/>
              <w:bottom w:type="dxa" w:w="100"/>
              <w:right w:type="dxa" w:w="140"/>
            </w:tcMar>
          </w:tcPr>
          <w:p>
            <w:r>
              <w:rPr>
                <w:rFonts w:ascii="Arial" w:cs="Arial" w:eastAsia="Arial" w:hAnsi="Arial"/>
                <w:b/>
                <w:bCs/>
                <w:color w:val="FFFFFF"/>
                <w:sz w:val="20"/>
                <w:szCs w:val="20"/>
              </w:rPr>
              <w:t xml:space="preserve">Tool / Technology</w:t>
            </w:r>
          </w:p>
        </w:tc>
        <w:tc>
          <w:tcPr>
            <w:tcW w:type="dxa" w:w="6160"/>
            <w:tcBorders>
              <w:top w:val="single" w:color="AABBCC" w:sz="1"/>
              <w:left w:val="single" w:color="AABBCC" w:sz="1"/>
              <w:bottom w:val="single" w:color="AABBCC" w:sz="1"/>
              <w:right w:val="single" w:color="AABBCC" w:sz="1"/>
            </w:tcBorders>
            <w:shd w:fill="003366" w:val="clear"/>
            <w:tcMar>
              <w:top w:type="dxa" w:w="100"/>
              <w:left w:type="dxa" w:w="140"/>
              <w:bottom w:type="dxa" w:w="100"/>
              <w:right w:type="dxa" w:w="140"/>
            </w:tcMar>
          </w:tcPr>
          <w:p>
            <w:r>
              <w:rPr>
                <w:rFonts w:ascii="Arial" w:cs="Arial" w:eastAsia="Arial" w:hAnsi="Arial"/>
                <w:b/>
                <w:bCs/>
                <w:color w:val="FFFFFF"/>
                <w:sz w:val="20"/>
                <w:szCs w:val="20"/>
              </w:rPr>
              <w:t xml:space="preserve">Purpose</w:t>
            </w:r>
          </w:p>
        </w:tc>
      </w:tr>
      <w:tr>
        <w:trPr>
          <w:tblHeader w:val="false"/>
        </w:trPr>
        <w:tc>
          <w:tcPr>
            <w:tcW w:type="dxa" w:w="3200"/>
            <w:tcBorders>
              <w:top w:val="single" w:color="AABBCC" w:sz="1"/>
              <w:left w:val="single" w:color="AABBCC" w:sz="1"/>
              <w:bottom w:val="single" w:color="AABBCC" w:sz="1"/>
              <w:right w:val="single" w:color="AABBCC" w:sz="1"/>
            </w:tcBorders>
            <w:shd w:fill="EBF2FA" w:val="clear"/>
            <w:tcMar>
              <w:top w:type="dxa" w:w="100"/>
              <w:left w:type="dxa" w:w="140"/>
              <w:bottom w:type="dxa" w:w="100"/>
              <w:right w:type="dxa" w:w="140"/>
            </w:tcMar>
          </w:tcPr>
          <w:p>
            <w:r>
              <w:rPr>
                <w:rFonts w:ascii="Arial" w:cs="Arial" w:eastAsia="Arial" w:hAnsi="Arial"/>
                <w:b w:val="false"/>
                <w:bCs w:val="false"/>
                <w:color w:val="1A1A2E"/>
                <w:sz w:val="20"/>
                <w:szCs w:val="20"/>
              </w:rPr>
              <w:t xml:space="preserve">Microsoft Excel</w:t>
            </w:r>
          </w:p>
        </w:tc>
        <w:tc>
          <w:tcPr>
            <w:tcW w:type="dxa" w:w="6160"/>
            <w:tcBorders>
              <w:top w:val="single" w:color="AABBCC" w:sz="1"/>
              <w:left w:val="single" w:color="AABBCC" w:sz="1"/>
              <w:bottom w:val="single" w:color="AABBCC" w:sz="1"/>
              <w:right w:val="single" w:color="AABBCC" w:sz="1"/>
            </w:tcBorders>
            <w:shd w:fill="FFFFFF" w:val="clear"/>
            <w:tcMar>
              <w:top w:type="dxa" w:w="100"/>
              <w:left w:type="dxa" w:w="140"/>
              <w:bottom w:type="dxa" w:w="100"/>
              <w:right w:type="dxa" w:w="140"/>
            </w:tcMar>
          </w:tcPr>
          <w:p>
            <w:r>
              <w:rPr>
                <w:rFonts w:ascii="Arial" w:cs="Arial" w:eastAsia="Arial" w:hAnsi="Arial"/>
                <w:b w:val="false"/>
                <w:bCs w:val="false"/>
                <w:color w:val="1A1A2E"/>
                <w:sz w:val="20"/>
                <w:szCs w:val="20"/>
              </w:rPr>
              <w:t xml:space="preserve">Data Cleaning, Pivot Analysis, Dashboard Development, Data Visualisation, and KPI Reporting</w:t>
            </w:r>
          </w:p>
        </w:tc>
      </w:tr>
    </w:tbl>
    <w:p>
      <w:pPr>
        <w:spacing w:after="0" w:before="120"/>
      </w:pPr>
    </w:p>
    <w:p>
      <w:pPr>
        <w:pBdr>
          <w:bottom w:val="single" w:color="003366" w:sz="6" w:space="4"/>
        </w:pBdr>
        <w:spacing w:after="120" w:before="360"/>
      </w:pPr>
      <w:r>
        <w:rPr>
          <w:rFonts w:ascii="Arial" w:cs="Arial" w:eastAsia="Arial" w:hAnsi="Arial"/>
          <w:b/>
          <w:bCs/>
          <w:caps/>
          <w:color w:val="003366"/>
          <w:sz w:val="28"/>
          <w:szCs w:val="28"/>
        </w:rPr>
        <w:t xml:space="preserve">Section 5 — Data Collection &amp; Cleaning</w:t>
      </w:r>
    </w:p>
    <w:p>
      <w:pPr>
        <w:spacing w:after="0" w:before="60"/>
      </w:pPr>
    </w:p>
    <w:p>
      <w:pPr>
        <w:spacing w:after="80" w:before="240"/>
      </w:pPr>
      <w:r>
        <w:rPr>
          <w:rFonts w:ascii="Arial" w:cs="Arial" w:eastAsia="Arial" w:hAnsi="Arial"/>
          <w:b/>
          <w:bCs/>
          <w:color w:val="1A5276"/>
          <w:sz w:val="24"/>
          <w:szCs w:val="24"/>
        </w:rPr>
        <w:t xml:space="preserve">Data Collection</w:t>
      </w:r>
    </w:p>
    <w:p>
      <w:pPr>
        <w:spacing w:after="80" w:before="80"/>
        <w:jc w:val="both"/>
      </w:pPr>
      <w:r>
        <w:rPr>
          <w:rFonts w:ascii="Arial" w:cs="Arial" w:eastAsia="Arial" w:hAnsi="Arial"/>
          <w:b w:val="false"/>
          <w:bCs w:val="false"/>
          <w:i w:val="false"/>
          <w:iCs w:val="false"/>
          <w:color w:val="1A1A2E"/>
          <w:sz w:val="22"/>
          <w:szCs w:val="22"/>
        </w:rPr>
        <w:t xml:space="preserve">The data used for this analysis was sourced from Kaggle. Data collection was carried out over a period of 24 hours, ensuring that all relevant variables aligned with the objectives of the study were captured. The dataset included key fields such as: Ship Mode, Ship Date, Customer Name/ID, Segment, Country, City, State, Product, Category, Sales, Quantity, Discount, and Profit.</w:t>
      </w:r>
    </w:p>
    <w:p>
      <w:pPr>
        <w:spacing w:after="0" w:before="80"/>
      </w:pPr>
    </w:p>
    <w:p>
      <w:pPr>
        <w:spacing w:after="80" w:before="240"/>
      </w:pPr>
      <w:r>
        <w:rPr>
          <w:rFonts w:ascii="Arial" w:cs="Arial" w:eastAsia="Arial" w:hAnsi="Arial"/>
          <w:b/>
          <w:bCs/>
          <w:color w:val="1A5276"/>
          <w:sz w:val="24"/>
          <w:szCs w:val="24"/>
        </w:rPr>
        <w:t xml:space="preserve">Data Cleaning</w:t>
      </w:r>
    </w:p>
    <w:p>
      <w:pPr>
        <w:spacing w:after="80" w:before="80"/>
        <w:jc w:val="both"/>
      </w:pPr>
      <w:r>
        <w:rPr>
          <w:rFonts w:ascii="Arial" w:cs="Arial" w:eastAsia="Arial" w:hAnsi="Arial"/>
          <w:b w:val="false"/>
          <w:bCs w:val="false"/>
          <w:i w:val="false"/>
          <w:iCs w:val="false"/>
          <w:color w:val="1A1A2E"/>
          <w:sz w:val="22"/>
          <w:szCs w:val="22"/>
        </w:rPr>
        <w:t xml:space="preserve">Prior to analysis, the dataset underwent a comprehensive cleaning process to ensure accuracy and consistency:</w:t>
      </w:r>
    </w:p>
    <w:p>
      <w:pPr>
        <w:pStyle w:val="ListParagraph"/>
        <w:numPr>
          <w:ilvl w:val="0"/>
          <w:numId w:val="2"/>
        </w:numPr>
        <w:spacing w:after="40" w:before="40"/>
      </w:pPr>
      <w:r>
        <w:rPr>
          <w:rFonts w:ascii="Arial" w:cs="Arial" w:eastAsia="Arial" w:hAnsi="Arial"/>
          <w:b w:val="false"/>
          <w:bCs w:val="false"/>
          <w:color w:val="1A1A2E"/>
          <w:sz w:val="22"/>
          <w:szCs w:val="22"/>
        </w:rPr>
        <w:t xml:space="preserve">Missing values were identified and addressed using appropriate techniques, including removal or imputation.</w:t>
      </w:r>
    </w:p>
    <w:p>
      <w:pPr>
        <w:pStyle w:val="ListParagraph"/>
        <w:numPr>
          <w:ilvl w:val="0"/>
          <w:numId w:val="2"/>
        </w:numPr>
        <w:spacing w:after="40" w:before="40"/>
      </w:pPr>
      <w:r>
        <w:rPr>
          <w:rFonts w:ascii="Arial" w:cs="Arial" w:eastAsia="Arial" w:hAnsi="Arial"/>
          <w:b w:val="false"/>
          <w:bCs w:val="false"/>
          <w:color w:val="1A1A2E"/>
          <w:sz w:val="22"/>
          <w:szCs w:val="22"/>
        </w:rPr>
        <w:t xml:space="preserve">Duplicate records were detected and eliminated to prevent analytical bias.</w:t>
      </w:r>
    </w:p>
    <w:p>
      <w:pPr>
        <w:pStyle w:val="ListParagraph"/>
        <w:numPr>
          <w:ilvl w:val="0"/>
          <w:numId w:val="2"/>
        </w:numPr>
        <w:spacing w:after="40" w:before="40"/>
      </w:pPr>
      <w:r>
        <w:rPr>
          <w:rFonts w:ascii="Arial" w:cs="Arial" w:eastAsia="Arial" w:hAnsi="Arial"/>
          <w:b w:val="false"/>
          <w:bCs w:val="false"/>
          <w:color w:val="1A1A2E"/>
          <w:sz w:val="22"/>
          <w:szCs w:val="22"/>
        </w:rPr>
        <w:t xml:space="preserve">Data types were standardised, and inconsistencies in formatting — such as date formats and categorical labels — were corrected.</w:t>
      </w:r>
    </w:p>
    <w:p>
      <w:pPr>
        <w:pStyle w:val="ListParagraph"/>
        <w:numPr>
          <w:ilvl w:val="0"/>
          <w:numId w:val="2"/>
        </w:numPr>
        <w:spacing w:after="40" w:before="40"/>
      </w:pPr>
      <w:r>
        <w:rPr>
          <w:rFonts w:ascii="Arial" w:cs="Arial" w:eastAsia="Arial" w:hAnsi="Arial"/>
          <w:b w:val="false"/>
          <w:bCs w:val="false"/>
          <w:color w:val="1A1A2E"/>
          <w:sz w:val="22"/>
          <w:szCs w:val="22"/>
        </w:rPr>
        <w:t xml:space="preserve">The cleaned dataset was validated to confirm its suitability for analysis.</w:t>
      </w:r>
    </w:p>
    <w:p>
      <w:r>
        <w:br w:type="page"/>
      </w:r>
    </w:p>
    <w:p>
      <w:pPr>
        <w:pBdr>
          <w:bottom w:val="single" w:color="003366" w:sz="6" w:space="4"/>
        </w:pBdr>
        <w:spacing w:after="120" w:before="360"/>
      </w:pPr>
      <w:r>
        <w:rPr>
          <w:rFonts w:ascii="Arial" w:cs="Arial" w:eastAsia="Arial" w:hAnsi="Arial"/>
          <w:b/>
          <w:bCs/>
          <w:caps/>
          <w:color w:val="003366"/>
          <w:sz w:val="28"/>
          <w:szCs w:val="28"/>
        </w:rPr>
        <w:t xml:space="preserve">Section 6 — Analysis Framework &amp; Key Insights</w:t>
      </w:r>
    </w:p>
    <w:p>
      <w:pPr>
        <w:spacing w:after="80" w:before="80"/>
        <w:jc w:val="both"/>
      </w:pPr>
      <w:r>
        <w:rPr>
          <w:rFonts w:ascii="Arial" w:cs="Arial" w:eastAsia="Arial" w:hAnsi="Arial"/>
          <w:b w:val="false"/>
          <w:bCs w:val="false"/>
          <w:i w:val="false"/>
          <w:iCs w:val="false"/>
          <w:color w:val="1A1A2E"/>
          <w:sz w:val="22"/>
          <w:szCs w:val="22"/>
        </w:rPr>
        <w:t xml:space="preserve">The analysis is structured around five core pillars, each addressing a distinct dimension of business performance.</w:t>
      </w:r>
    </w:p>
    <w:p>
      <w:pPr>
        <w:spacing w:after="0" w:before="80"/>
      </w:pPr>
    </w:p>
    <w:p>
      <w:pPr>
        <w:spacing w:after="80" w:before="240"/>
      </w:pPr>
      <w:r>
        <w:rPr>
          <w:rFonts w:ascii="Arial" w:cs="Arial" w:eastAsia="Arial" w:hAnsi="Arial"/>
          <w:b/>
          <w:bCs/>
          <w:color w:val="1A5276"/>
          <w:sz w:val="24"/>
          <w:szCs w:val="24"/>
        </w:rPr>
        <w:t xml:space="preserve">6.1  Executive Overview</w:t>
      </w:r>
    </w:p>
    <w:p>
      <w:pPr>
        <w:spacing w:after="80" w:before="80"/>
        <w:jc w:val="both"/>
      </w:pPr>
      <w:r>
        <w:rPr>
          <w:rFonts w:ascii="Arial" w:cs="Arial" w:eastAsia="Arial" w:hAnsi="Arial"/>
          <w:b w:val="false"/>
          <w:bCs w:val="false"/>
          <w:i w:val="false"/>
          <w:iCs w:val="false"/>
          <w:color w:val="1A1A2E"/>
          <w:sz w:val="22"/>
          <w:szCs w:val="22"/>
        </w:rPr>
        <w:t xml:space="preserve">The analysis reveals that Technology is the leading revenue and profit driver, while Furniture underperforms across key metrics. Sales trends indicate strong seasonality, with peak performance toward year-end. Additionally, the current discount strategy may be compressing profit margins — presenting an opportunity for optimisation.</w:t>
      </w:r>
    </w:p>
    <w:p>
      <w:pPr>
        <w:spacing w:after="0" w:before="60"/>
      </w:pPr>
    </w:p>
    <w:p>
      <w:pPr>
        <w:spacing w:after="80" w:before="80"/>
        <w:jc w:val="both"/>
      </w:pPr>
      <w:r>
        <w:rPr>
          <w:rFonts w:ascii="Arial" w:cs="Arial" w:eastAsia="Arial" w:hAnsi="Arial"/>
          <w:b w:val="false"/>
          <w:bCs w:val="false"/>
          <w:i w:val="false"/>
          <w:iCs w:val="false"/>
          <w:color w:val="1A1A2E"/>
          <w:sz w:val="22"/>
          <w:szCs w:val="22"/>
        </w:rPr>
        <w:t xml:space="preserve">The business demonstrates strong overall performance, with substantial sales volume and consistent profitability across nearly 10,000 orders:</w:t>
      </w:r>
    </w:p>
    <w:p>
      <w:pPr>
        <w:spacing w:after="0" w:before="40"/>
      </w:pPr>
    </w:p>
    <w:p>
      <w:pPr>
        <w:pStyle w:val="ListParagraph"/>
        <w:numPr>
          <w:ilvl w:val="0"/>
          <w:numId w:val="2"/>
        </w:numPr>
        <w:spacing w:after="40" w:before="40"/>
      </w:pPr>
      <w:r>
        <w:rPr>
          <w:rFonts w:ascii="Arial" w:cs="Arial" w:eastAsia="Arial" w:hAnsi="Arial"/>
          <w:b/>
          <w:bCs/>
          <w:color w:val="003366"/>
          <w:sz w:val="22"/>
          <w:szCs w:val="22"/>
        </w:rPr>
        <w:t xml:space="preserve">Technology is the primary revenue driver, contributing the highest share of both sales and profit, indicating strong market demand.</w:t>
      </w:r>
    </w:p>
    <w:p>
      <w:pPr>
        <w:pStyle w:val="ListParagraph"/>
        <w:numPr>
          <w:ilvl w:val="0"/>
          <w:numId w:val="2"/>
        </w:numPr>
        <w:spacing w:after="40" w:before="40"/>
      </w:pPr>
      <w:r>
        <w:rPr>
          <w:rFonts w:ascii="Arial" w:cs="Arial" w:eastAsia="Arial" w:hAnsi="Arial"/>
          <w:b w:val="false"/>
          <w:bCs w:val="false"/>
          <w:color w:val="1A1A2E"/>
          <w:sz w:val="22"/>
          <w:szCs w:val="22"/>
        </w:rPr>
        <w:t xml:space="preserve">Office Supplies demonstrates a strong profit growth trajectory, suggesting higher margins or more efficient cost management.</w:t>
      </w:r>
    </w:p>
    <w:p>
      <w:pPr>
        <w:pStyle w:val="ListParagraph"/>
        <w:numPr>
          <w:ilvl w:val="0"/>
          <w:numId w:val="2"/>
        </w:numPr>
        <w:spacing w:after="40" w:before="40"/>
      </w:pPr>
      <w:r>
        <w:rPr>
          <w:rFonts w:ascii="Arial" w:cs="Arial" w:eastAsia="Arial" w:hAnsi="Arial"/>
          <w:b/>
          <w:bCs/>
          <w:color w:val="003366"/>
          <w:sz w:val="22"/>
          <w:szCs w:val="22"/>
        </w:rPr>
        <w:t xml:space="preserve">Furniture is the weakest-performing category, indicating potential issues with demand, pricing strategy, or cost structure.</w:t>
      </w:r>
    </w:p>
    <w:p>
      <w:pPr>
        <w:pStyle w:val="ListParagraph"/>
        <w:numPr>
          <w:ilvl w:val="0"/>
          <w:numId w:val="2"/>
        </w:numPr>
        <w:spacing w:after="40" w:before="40"/>
      </w:pPr>
      <w:r>
        <w:rPr>
          <w:rFonts w:ascii="Arial" w:cs="Arial" w:eastAsia="Arial" w:hAnsi="Arial"/>
          <w:b w:val="false"/>
          <w:bCs w:val="false"/>
          <w:color w:val="1A1A2E"/>
          <w:sz w:val="22"/>
          <w:szCs w:val="22"/>
        </w:rPr>
        <w:t xml:space="preserve">Monthly sales are volatile, with peaks in September and November, and a notable dip in October — suggesting influence from seasonal or promotional factors.</w:t>
      </w:r>
    </w:p>
    <w:p>
      <w:pPr>
        <w:spacing w:after="0" w:before="80"/>
      </w:pPr>
    </w:p>
    <w:p>
      <w:pPr>
        <w:spacing w:after="160" w:before="160"/>
        <w:jc w:val="center"/>
      </w:pPr>
      <w:r>
        <w:drawing>
          <wp:inline distT="0" distB="0" distL="0" distR="0">
            <wp:extent cx="5953125" cy="28289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5953125" cy="2828925"/>
                    </a:xfrm>
                    <a:prstGeom prst="rect">
                      <a:avLst/>
                    </a:prstGeom>
                  </pic:spPr>
                </pic:pic>
              </a:graphicData>
            </a:graphic>
          </wp:inline>
        </w:drawing>
      </w:r>
    </w:p>
    <w:p>
      <w:pPr>
        <w:spacing w:after="120" w:before="0"/>
        <w:jc w:val="center"/>
      </w:pPr>
      <w:r>
        <w:rPr>
          <w:rFonts w:ascii="Arial" w:cs="Arial" w:eastAsia="Arial" w:hAnsi="Arial"/>
          <w:i/>
          <w:iCs/>
          <w:color w:val="4A4A6A"/>
          <w:sz w:val="18"/>
          <w:szCs w:val="18"/>
        </w:rPr>
        <w:t xml:space="preserve">Figure 1: Executive Dashboard — KPI Overview &amp; Sales Trend with Profit (2014–2017)</w:t>
      </w:r>
    </w:p>
    <w:p>
      <w:pPr>
        <w:spacing w:after="0" w:before="80"/>
      </w:pPr>
    </w:p>
    <w:p>
      <w:pPr>
        <w:spacing w:after="80" w:before="240"/>
      </w:pPr>
      <w:r>
        <w:rPr>
          <w:rFonts w:ascii="Arial" w:cs="Arial" w:eastAsia="Arial" w:hAnsi="Arial"/>
          <w:b/>
          <w:bCs/>
          <w:color w:val="1A5276"/>
          <w:sz w:val="24"/>
          <w:szCs w:val="24"/>
        </w:rPr>
        <w:t xml:space="preserve">6.2  Regional Performance</w:t>
      </w:r>
    </w:p>
    <w:p>
      <w:pPr>
        <w:spacing w:after="80" w:before="80"/>
        <w:jc w:val="both"/>
      </w:pPr>
      <w:r>
        <w:rPr>
          <w:rFonts w:ascii="Arial" w:cs="Arial" w:eastAsia="Arial" w:hAnsi="Arial"/>
          <w:b/>
          <w:bCs/>
          <w:i w:val="false"/>
          <w:iCs w:val="false"/>
          <w:color w:val="1A1A2E"/>
          <w:sz w:val="22"/>
          <w:szCs w:val="22"/>
        </w:rPr>
        <w:t xml:space="preserve">A. Which region generates the most sales?</w:t>
      </w:r>
    </w:p>
    <w:p>
      <w:pPr>
        <w:spacing w:after="80" w:before="80"/>
        <w:jc w:val="both"/>
      </w:pPr>
      <w:r>
        <w:rPr>
          <w:rFonts w:ascii="Arial" w:cs="Arial" w:eastAsia="Arial" w:hAnsi="Arial"/>
          <w:b w:val="false"/>
          <w:bCs w:val="false"/>
          <w:i w:val="false"/>
          <w:iCs w:val="false"/>
          <w:color w:val="1A1A2E"/>
          <w:sz w:val="22"/>
          <w:szCs w:val="22"/>
        </w:rPr>
        <w:t xml:space="preserve">The West region is the top contributor to overall sales, highlighting a large and active customer base with strong revenue generation capacity.</w:t>
      </w:r>
    </w:p>
    <w:p>
      <w:pPr>
        <w:spacing w:after="0" w:before="60"/>
      </w:pPr>
    </w:p>
    <w:p>
      <w:pPr>
        <w:spacing w:after="80" w:before="80"/>
        <w:jc w:val="both"/>
      </w:pPr>
      <w:r>
        <w:rPr>
          <w:rFonts w:ascii="Arial" w:cs="Arial" w:eastAsia="Arial" w:hAnsi="Arial"/>
          <w:b/>
          <w:bCs/>
          <w:i w:val="false"/>
          <w:iCs w:val="false"/>
          <w:color w:val="1A1A2E"/>
          <w:sz w:val="22"/>
          <w:szCs w:val="22"/>
        </w:rPr>
        <w:t xml:space="preserve">B. Which region produces the most profit?</w:t>
      </w:r>
    </w:p>
    <w:p>
      <w:pPr>
        <w:spacing w:after="80" w:before="80"/>
        <w:jc w:val="both"/>
      </w:pPr>
      <w:r>
        <w:rPr>
          <w:rFonts w:ascii="Arial" w:cs="Arial" w:eastAsia="Arial" w:hAnsi="Arial"/>
          <w:b w:val="false"/>
          <w:bCs w:val="false"/>
          <w:i w:val="false"/>
          <w:iCs w:val="false"/>
          <w:color w:val="1A1A2E"/>
          <w:sz w:val="22"/>
          <w:szCs w:val="22"/>
        </w:rPr>
        <w:t xml:space="preserve">The West region also generates the highest profit among all regions, indicating effective pricing strategies and strong market performance — despite significant competition.</w:t>
      </w:r>
    </w:p>
    <w:p>
      <w:pPr>
        <w:spacing w:after="0" w:before="60"/>
      </w:pPr>
    </w:p>
    <w:p>
      <w:pPr>
        <w:spacing w:after="80" w:before="80"/>
        <w:jc w:val="both"/>
      </w:pPr>
      <w:r>
        <w:rPr>
          <w:rFonts w:ascii="Arial" w:cs="Arial" w:eastAsia="Arial" w:hAnsi="Arial"/>
          <w:b/>
          <w:bCs/>
          <w:i w:val="false"/>
          <w:iCs w:val="false"/>
          <w:color w:val="1A1A2E"/>
          <w:sz w:val="22"/>
          <w:szCs w:val="22"/>
        </w:rPr>
        <w:t xml:space="preserve">C. Which states are operating at a loss?</w:t>
      </w:r>
    </w:p>
    <w:p>
      <w:pPr>
        <w:pStyle w:val="ListParagraph"/>
        <w:numPr>
          <w:ilvl w:val="0"/>
          <w:numId w:val="2"/>
        </w:numPr>
        <w:spacing w:after="40" w:before="40"/>
      </w:pPr>
      <w:r>
        <w:rPr>
          <w:rFonts w:ascii="Arial" w:cs="Arial" w:eastAsia="Arial" w:hAnsi="Arial"/>
          <w:b w:val="false"/>
          <w:bCs w:val="false"/>
          <w:color w:val="1A1A2E"/>
          <w:sz w:val="22"/>
          <w:szCs w:val="22"/>
        </w:rPr>
        <w:t xml:space="preserve">Texas — Profit: -$25,729.36 (most significant loss state)</w:t>
      </w:r>
    </w:p>
    <w:p>
      <w:pPr>
        <w:spacing w:after="0" w:before="60"/>
      </w:pPr>
    </w:p>
    <w:p>
      <w:pPr>
        <w:spacing w:after="80" w:before="80"/>
        <w:jc w:val="both"/>
      </w:pPr>
      <w:r>
        <w:rPr>
          <w:rFonts w:ascii="Arial" w:cs="Arial" w:eastAsia="Arial" w:hAnsi="Arial"/>
          <w:b w:val="false"/>
          <w:bCs w:val="false"/>
          <w:i w:val="false"/>
          <w:iCs w:val="false"/>
          <w:color w:val="1A1A2E"/>
          <w:sz w:val="22"/>
          <w:szCs w:val="22"/>
        </w:rPr>
        <w:t xml:space="preserve">Summary: While the East region drives the highest sales, the West region leads in profitability, reflecting stronger margin performance. The South region underperforms and presents a growth opportunity. At the state level, revenue is highly concentrated, with California as the dominant contributor. Inconsistencies between sales and profit across regions highlight opportunities for pricing and cost strategy optimisation.</w:t>
      </w:r>
    </w:p>
    <w:p>
      <w:pPr>
        <w:spacing w:after="0" w:before="80"/>
      </w:pPr>
    </w:p>
    <w:p>
      <w:pPr>
        <w:spacing w:after="160" w:before="160"/>
        <w:jc w:val="center"/>
      </w:pPr>
      <w:r>
        <w:drawing>
          <wp:inline distT="0" distB="0" distL="0" distR="0">
            <wp:extent cx="5953125" cy="29051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953125" cy="2905125"/>
                    </a:xfrm>
                    <a:prstGeom prst="rect">
                      <a:avLst/>
                    </a:prstGeom>
                  </pic:spPr>
                </pic:pic>
              </a:graphicData>
            </a:graphic>
          </wp:inline>
        </w:drawing>
      </w:r>
    </w:p>
    <w:p>
      <w:pPr>
        <w:spacing w:after="120" w:before="0"/>
        <w:jc w:val="center"/>
      </w:pPr>
      <w:r>
        <w:rPr>
          <w:rFonts w:ascii="Arial" w:cs="Arial" w:eastAsia="Arial" w:hAnsi="Arial"/>
          <w:i/>
          <w:iCs/>
          <w:color w:val="4A4A6A"/>
          <w:sz w:val="18"/>
          <w:szCs w:val="18"/>
        </w:rPr>
        <w:t xml:space="preserve">Figure 2: Regional Performance — Sales &amp; Profit by Region and State</w:t>
      </w:r>
    </w:p>
    <w:p>
      <w:pPr>
        <w:spacing w:after="0" w:before="80"/>
      </w:pPr>
    </w:p>
    <w:p>
      <w:pPr>
        <w:spacing w:after="80" w:before="240"/>
      </w:pPr>
      <w:r>
        <w:rPr>
          <w:rFonts w:ascii="Arial" w:cs="Arial" w:eastAsia="Arial" w:hAnsi="Arial"/>
          <w:b/>
          <w:bCs/>
          <w:color w:val="1A5276"/>
          <w:sz w:val="24"/>
          <w:szCs w:val="24"/>
        </w:rPr>
        <w:t xml:space="preserve">6.3  Product Performance</w:t>
      </w:r>
    </w:p>
    <w:p>
      <w:pPr>
        <w:spacing w:after="80" w:before="80"/>
        <w:jc w:val="both"/>
      </w:pPr>
      <w:r>
        <w:rPr>
          <w:rFonts w:ascii="Arial" w:cs="Arial" w:eastAsia="Arial" w:hAnsi="Arial"/>
          <w:b/>
          <w:bCs/>
          <w:i w:val="false"/>
          <w:iCs w:val="false"/>
          <w:color w:val="1A1A2E"/>
          <w:sz w:val="22"/>
          <w:szCs w:val="22"/>
        </w:rPr>
        <w:t xml:space="preserve">1. Which category generates the highest sales?</w:t>
      </w:r>
    </w:p>
    <w:p>
      <w:pPr>
        <w:spacing w:after="80" w:before="80"/>
        <w:jc w:val="both"/>
      </w:pPr>
      <w:r>
        <w:rPr>
          <w:rFonts w:ascii="Arial" w:cs="Arial" w:eastAsia="Arial" w:hAnsi="Arial"/>
          <w:b w:val="false"/>
          <w:bCs w:val="false"/>
          <w:i w:val="false"/>
          <w:iCs w:val="false"/>
          <w:color w:val="1A1A2E"/>
          <w:sz w:val="22"/>
          <w:szCs w:val="22"/>
        </w:rPr>
        <w:t xml:space="preserve">Technology generates the highest sales — clearly evidenced by its dominant position in the sales category chart.</w:t>
      </w:r>
    </w:p>
    <w:p>
      <w:pPr>
        <w:spacing w:after="0" w:before="60"/>
      </w:pPr>
    </w:p>
    <w:p>
      <w:pPr>
        <w:spacing w:after="80" w:before="80"/>
        <w:jc w:val="both"/>
      </w:pPr>
      <w:r>
        <w:rPr>
          <w:rFonts w:ascii="Arial" w:cs="Arial" w:eastAsia="Arial" w:hAnsi="Arial"/>
          <w:b/>
          <w:bCs/>
          <w:i w:val="false"/>
          <w:iCs w:val="false"/>
          <w:color w:val="1A1A2E"/>
          <w:sz w:val="22"/>
          <w:szCs w:val="22"/>
        </w:rPr>
        <w:t xml:space="preserve">2. Which products generate losses?</w:t>
      </w:r>
    </w:p>
    <w:p>
      <w:pPr>
        <w:pStyle w:val="ListParagraph"/>
        <w:numPr>
          <w:ilvl w:val="0"/>
          <w:numId w:val="2"/>
        </w:numPr>
        <w:spacing w:after="40" w:before="40"/>
      </w:pPr>
      <w:r>
        <w:rPr>
          <w:rFonts w:ascii="Arial" w:cs="Arial" w:eastAsia="Arial" w:hAnsi="Arial"/>
          <w:b/>
          <w:bCs/>
          <w:color w:val="003366"/>
          <w:sz w:val="22"/>
          <w:szCs w:val="22"/>
        </w:rPr>
        <w:t xml:space="preserve">Tables (largest loss contributor)</w:t>
      </w:r>
    </w:p>
    <w:p>
      <w:pPr>
        <w:pStyle w:val="ListParagraph"/>
        <w:numPr>
          <w:ilvl w:val="0"/>
          <w:numId w:val="2"/>
        </w:numPr>
        <w:spacing w:after="40" w:before="40"/>
      </w:pPr>
      <w:r>
        <w:rPr>
          <w:rFonts w:ascii="Arial" w:cs="Arial" w:eastAsia="Arial" w:hAnsi="Arial"/>
          <w:b w:val="false"/>
          <w:bCs w:val="false"/>
          <w:color w:val="1A1A2E"/>
          <w:sz w:val="22"/>
          <w:szCs w:val="22"/>
        </w:rPr>
        <w:t xml:space="preserve">Bookcases</w:t>
      </w:r>
    </w:p>
    <w:p>
      <w:pPr>
        <w:pStyle w:val="ListParagraph"/>
        <w:numPr>
          <w:ilvl w:val="0"/>
          <w:numId w:val="2"/>
        </w:numPr>
        <w:spacing w:after="40" w:before="40"/>
      </w:pPr>
      <w:r>
        <w:rPr>
          <w:rFonts w:ascii="Arial" w:cs="Arial" w:eastAsia="Arial" w:hAnsi="Arial"/>
          <w:b w:val="false"/>
          <w:bCs w:val="false"/>
          <w:color w:val="1A1A2E"/>
          <w:sz w:val="22"/>
          <w:szCs w:val="22"/>
        </w:rPr>
        <w:t xml:space="preserve">Supplies (slight loss)</w:t>
      </w:r>
    </w:p>
    <w:p>
      <w:pPr>
        <w:spacing w:after="0" w:before="60"/>
      </w:pPr>
    </w:p>
    <w:p>
      <w:pPr>
        <w:spacing w:after="80" w:before="80"/>
        <w:jc w:val="both"/>
      </w:pPr>
      <w:r>
        <w:rPr>
          <w:rFonts w:ascii="Arial" w:cs="Arial" w:eastAsia="Arial" w:hAnsi="Arial"/>
          <w:b/>
          <w:bCs/>
          <w:i w:val="false"/>
          <w:iCs w:val="false"/>
          <w:color w:val="1A1A2E"/>
          <w:sz w:val="22"/>
          <w:szCs w:val="22"/>
        </w:rPr>
        <w:t xml:space="preserve">3. Which products should be promoted?</w:t>
      </w:r>
    </w:p>
    <w:p>
      <w:pPr>
        <w:spacing w:after="80" w:before="80"/>
        <w:jc w:val="both"/>
      </w:pPr>
      <w:r>
        <w:rPr>
          <w:rFonts w:ascii="Arial" w:cs="Arial" w:eastAsia="Arial" w:hAnsi="Arial"/>
          <w:b w:val="false"/>
          <w:bCs w:val="false"/>
          <w:i w:val="false"/>
          <w:iCs w:val="false"/>
          <w:color w:val="1A1A2E"/>
          <w:sz w:val="22"/>
          <w:szCs w:val="22"/>
        </w:rPr>
        <w:t xml:space="preserve">Products with strong positive profit margins and high promotion potential include:</w:t>
      </w:r>
    </w:p>
    <w:p>
      <w:pPr>
        <w:pStyle w:val="ListParagraph"/>
        <w:numPr>
          <w:ilvl w:val="0"/>
          <w:numId w:val="2"/>
        </w:numPr>
        <w:spacing w:after="40" w:before="40"/>
      </w:pPr>
      <w:r>
        <w:rPr>
          <w:rFonts w:ascii="Arial" w:cs="Arial" w:eastAsia="Arial" w:hAnsi="Arial"/>
          <w:b/>
          <w:bCs/>
          <w:color w:val="003366"/>
          <w:sz w:val="22"/>
          <w:szCs w:val="22"/>
        </w:rPr>
        <w:t xml:space="preserve">Copiers — Highest profit contributor</w:t>
      </w:r>
    </w:p>
    <w:p>
      <w:pPr>
        <w:pStyle w:val="ListParagraph"/>
        <w:numPr>
          <w:ilvl w:val="0"/>
          <w:numId w:val="2"/>
        </w:numPr>
        <w:spacing w:after="40" w:before="40"/>
      </w:pPr>
      <w:r>
        <w:rPr>
          <w:rFonts w:ascii="Arial" w:cs="Arial" w:eastAsia="Arial" w:hAnsi="Arial"/>
          <w:b w:val="false"/>
          <w:bCs w:val="false"/>
          <w:color w:val="1A1A2E"/>
          <w:sz w:val="22"/>
          <w:szCs w:val="22"/>
        </w:rPr>
        <w:t xml:space="preserve">Phones</w:t>
      </w:r>
    </w:p>
    <w:p>
      <w:pPr>
        <w:pStyle w:val="ListParagraph"/>
        <w:numPr>
          <w:ilvl w:val="0"/>
          <w:numId w:val="2"/>
        </w:numPr>
        <w:spacing w:after="40" w:before="40"/>
      </w:pPr>
      <w:r>
        <w:rPr>
          <w:rFonts w:ascii="Arial" w:cs="Arial" w:eastAsia="Arial" w:hAnsi="Arial"/>
          <w:b w:val="false"/>
          <w:bCs w:val="false"/>
          <w:color w:val="1A1A2E"/>
          <w:sz w:val="22"/>
          <w:szCs w:val="22"/>
        </w:rPr>
        <w:t xml:space="preserve">Accessories</w:t>
      </w:r>
    </w:p>
    <w:p>
      <w:pPr>
        <w:pStyle w:val="ListParagraph"/>
        <w:numPr>
          <w:ilvl w:val="0"/>
          <w:numId w:val="2"/>
        </w:numPr>
        <w:spacing w:after="40" w:before="40"/>
      </w:pPr>
      <w:r>
        <w:rPr>
          <w:rFonts w:ascii="Arial" w:cs="Arial" w:eastAsia="Arial" w:hAnsi="Arial"/>
          <w:b w:val="false"/>
          <w:bCs w:val="false"/>
          <w:color w:val="1A1A2E"/>
          <w:sz w:val="22"/>
          <w:szCs w:val="22"/>
        </w:rPr>
        <w:t xml:space="preserve">Chairs</w:t>
      </w:r>
    </w:p>
    <w:p>
      <w:pPr>
        <w:pStyle w:val="ListParagraph"/>
        <w:numPr>
          <w:ilvl w:val="0"/>
          <w:numId w:val="2"/>
        </w:numPr>
        <w:spacing w:after="40" w:before="40"/>
      </w:pPr>
      <w:r>
        <w:rPr>
          <w:rFonts w:ascii="Arial" w:cs="Arial" w:eastAsia="Arial" w:hAnsi="Arial"/>
          <w:b w:val="false"/>
          <w:bCs w:val="false"/>
          <w:color w:val="1A1A2E"/>
          <w:sz w:val="22"/>
          <w:szCs w:val="22"/>
        </w:rPr>
        <w:t xml:space="preserve">Storage</w:t>
      </w:r>
    </w:p>
    <w:p>
      <w:pPr>
        <w:spacing w:after="0" w:before="80"/>
      </w:pPr>
    </w:p>
    <w:p>
      <w:pPr>
        <w:spacing w:after="160" w:before="160"/>
        <w:jc w:val="center"/>
      </w:pPr>
      <w:r>
        <w:drawing>
          <wp:inline distT="0" distB="0" distL="0" distR="0">
            <wp:extent cx="5953125" cy="30670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953125" cy="3067050"/>
                    </a:xfrm>
                    <a:prstGeom prst="rect">
                      <a:avLst/>
                    </a:prstGeom>
                  </pic:spPr>
                </pic:pic>
              </a:graphicData>
            </a:graphic>
          </wp:inline>
        </w:drawing>
      </w:r>
    </w:p>
    <w:p>
      <w:pPr>
        <w:spacing w:after="120" w:before="0"/>
        <w:jc w:val="center"/>
      </w:pPr>
      <w:r>
        <w:rPr>
          <w:rFonts w:ascii="Arial" w:cs="Arial" w:eastAsia="Arial" w:hAnsi="Arial"/>
          <w:i/>
          <w:iCs/>
          <w:color w:val="4A4A6A"/>
          <w:sz w:val="18"/>
          <w:szCs w:val="18"/>
        </w:rPr>
        <w:t xml:space="preserve">Figure 3: Product Performance — Sales &amp; Profit by Category and Sub-Category</w:t>
      </w:r>
    </w:p>
    <w:p>
      <w:pPr>
        <w:spacing w:after="0" w:before="80"/>
      </w:pPr>
    </w:p>
    <w:p>
      <w:pPr>
        <w:spacing w:after="80" w:before="240"/>
      </w:pPr>
      <w:r>
        <w:rPr>
          <w:rFonts w:ascii="Arial" w:cs="Arial" w:eastAsia="Arial" w:hAnsi="Arial"/>
          <w:b/>
          <w:bCs/>
          <w:color w:val="1A5276"/>
          <w:sz w:val="24"/>
          <w:szCs w:val="24"/>
        </w:rPr>
        <w:t xml:space="preserve">6.4  Customer Segment Analysis</w:t>
      </w:r>
    </w:p>
    <w:p>
      <w:pPr>
        <w:spacing w:after="80" w:before="80"/>
        <w:jc w:val="both"/>
      </w:pPr>
      <w:r>
        <w:rPr>
          <w:rFonts w:ascii="Arial" w:cs="Arial" w:eastAsia="Arial" w:hAnsi="Arial"/>
          <w:b/>
          <w:bCs/>
          <w:i w:val="false"/>
          <w:iCs w:val="false"/>
          <w:color w:val="1A1A2E"/>
          <w:sz w:val="22"/>
          <w:szCs w:val="22"/>
        </w:rPr>
        <w:t xml:space="preserve">Which customer segment generates the highest revenue?</w:t>
      </w:r>
    </w:p>
    <w:p>
      <w:pPr>
        <w:spacing w:after="80" w:before="80"/>
        <w:jc w:val="both"/>
      </w:pPr>
      <w:r>
        <w:rPr>
          <w:rFonts w:ascii="Arial" w:cs="Arial" w:eastAsia="Arial" w:hAnsi="Arial"/>
          <w:b w:val="false"/>
          <w:bCs w:val="false"/>
          <w:i w:val="false"/>
          <w:iCs w:val="false"/>
          <w:color w:val="1A1A2E"/>
          <w:sz w:val="22"/>
          <w:szCs w:val="22"/>
        </w:rPr>
        <w:t xml:space="preserve">The Consumer segment generates the highest revenue, holding the largest sales share across both bar charts and pie chart representations.</w:t>
      </w:r>
    </w:p>
    <w:p>
      <w:pPr>
        <w:spacing w:after="0" w:before="60"/>
      </w:pPr>
    </w:p>
    <w:p>
      <w:pPr>
        <w:spacing w:after="80" w:before="80"/>
        <w:jc w:val="both"/>
      </w:pPr>
      <w:r>
        <w:rPr>
          <w:rFonts w:ascii="Arial" w:cs="Arial" w:eastAsia="Arial" w:hAnsi="Arial"/>
          <w:b/>
          <w:bCs/>
          <w:i w:val="false"/>
          <w:iCs w:val="false"/>
          <w:color w:val="1A1A2E"/>
          <w:sz w:val="22"/>
          <w:szCs w:val="22"/>
        </w:rPr>
        <w:t xml:space="preserve">Which segment is the most profitable?</w:t>
      </w:r>
    </w:p>
    <w:p>
      <w:pPr>
        <w:spacing w:after="80" w:before="80"/>
        <w:jc w:val="both"/>
      </w:pPr>
      <w:r>
        <w:rPr>
          <w:rFonts w:ascii="Arial" w:cs="Arial" w:eastAsia="Arial" w:hAnsi="Arial"/>
          <w:b w:val="false"/>
          <w:bCs w:val="false"/>
          <w:i w:val="false"/>
          <w:iCs w:val="false"/>
          <w:color w:val="1A1A2E"/>
          <w:sz w:val="22"/>
          <w:szCs w:val="22"/>
        </w:rPr>
        <w:t xml:space="preserve">The Consumer segment is also the most profitable, recording the highest profit in the Profit by Segment analysis.</w:t>
      </w:r>
    </w:p>
    <w:p>
      <w:pPr>
        <w:spacing w:after="0" w:before="80"/>
      </w:pPr>
    </w:p>
    <w:p>
      <w:pPr>
        <w:spacing w:after="160" w:before="160"/>
        <w:jc w:val="center"/>
      </w:pPr>
      <w:r>
        <w:drawing>
          <wp:inline distT="0" distB="0" distL="0" distR="0">
            <wp:extent cx="5953125" cy="3076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953125" cy="3076575"/>
                    </a:xfrm>
                    <a:prstGeom prst="rect">
                      <a:avLst/>
                    </a:prstGeom>
                  </pic:spPr>
                </pic:pic>
              </a:graphicData>
            </a:graphic>
          </wp:inline>
        </w:drawing>
      </w:r>
    </w:p>
    <w:p>
      <w:pPr>
        <w:spacing w:after="120" w:before="0"/>
        <w:jc w:val="center"/>
      </w:pPr>
      <w:r>
        <w:rPr>
          <w:rFonts w:ascii="Arial" w:cs="Arial" w:eastAsia="Arial" w:hAnsi="Arial"/>
          <w:i/>
          <w:iCs/>
          <w:color w:val="4A4A6A"/>
          <w:sz w:val="18"/>
          <w:szCs w:val="18"/>
        </w:rPr>
        <w:t xml:space="preserve">Figure 4: Customer Segment Analysis — Revenue &amp; Profit by Segment</w:t>
      </w:r>
    </w:p>
    <w:p>
      <w:pPr>
        <w:spacing w:after="0" w:before="80"/>
      </w:pPr>
    </w:p>
    <w:p>
      <w:pPr>
        <w:spacing w:after="80" w:before="240"/>
      </w:pPr>
      <w:r>
        <w:rPr>
          <w:rFonts w:ascii="Arial" w:cs="Arial" w:eastAsia="Arial" w:hAnsi="Arial"/>
          <w:b/>
          <w:bCs/>
          <w:color w:val="1A5276"/>
          <w:sz w:val="24"/>
          <w:szCs w:val="24"/>
        </w:rPr>
        <w:t xml:space="preserve">6.5  Discount Impact Analysis</w:t>
      </w:r>
    </w:p>
    <w:p>
      <w:pPr>
        <w:spacing w:after="80" w:before="80"/>
        <w:jc w:val="both"/>
      </w:pPr>
      <w:r>
        <w:rPr>
          <w:rFonts w:ascii="Arial" w:cs="Arial" w:eastAsia="Arial" w:hAnsi="Arial"/>
          <w:b/>
          <w:bCs/>
          <w:i w:val="false"/>
          <w:iCs w:val="false"/>
          <w:color w:val="1A1A2E"/>
          <w:sz w:val="22"/>
          <w:szCs w:val="22"/>
        </w:rPr>
        <w:t xml:space="preserve">Are we giving too much discount without generating sufficient profit?</w:t>
      </w:r>
    </w:p>
    <w:p>
      <w:pPr>
        <w:pStyle w:val="ListParagraph"/>
        <w:numPr>
          <w:ilvl w:val="0"/>
          <w:numId w:val="2"/>
        </w:numPr>
        <w:spacing w:after="40" w:before="40"/>
      </w:pPr>
      <w:r>
        <w:rPr>
          <w:rFonts w:ascii="Arial" w:cs="Arial" w:eastAsia="Arial" w:hAnsi="Arial"/>
          <w:b/>
          <w:bCs/>
          <w:color w:val="003366"/>
          <w:sz w:val="22"/>
          <w:szCs w:val="22"/>
        </w:rPr>
        <w:t xml:space="preserve">Furniture — Highest average discount (~18–20%)</w:t>
      </w:r>
    </w:p>
    <w:p>
      <w:pPr>
        <w:pStyle w:val="ListParagraph"/>
        <w:numPr>
          <w:ilvl w:val="0"/>
          <w:numId w:val="2"/>
        </w:numPr>
        <w:spacing w:after="40" w:before="40"/>
      </w:pPr>
      <w:r>
        <w:rPr>
          <w:rFonts w:ascii="Arial" w:cs="Arial" w:eastAsia="Arial" w:hAnsi="Arial"/>
          <w:b w:val="false"/>
          <w:bCs w:val="false"/>
          <w:color w:val="1A1A2E"/>
          <w:sz w:val="22"/>
          <w:szCs w:val="22"/>
        </w:rPr>
        <w:t xml:space="preserve">Office Supplies — Average discount ~15%</w:t>
      </w:r>
    </w:p>
    <w:p>
      <w:pPr>
        <w:pStyle w:val="ListParagraph"/>
        <w:numPr>
          <w:ilvl w:val="0"/>
          <w:numId w:val="2"/>
        </w:numPr>
        <w:spacing w:after="40" w:before="40"/>
      </w:pPr>
      <w:r>
        <w:rPr>
          <w:rFonts w:ascii="Arial" w:cs="Arial" w:eastAsia="Arial" w:hAnsi="Arial"/>
          <w:b w:val="false"/>
          <w:bCs w:val="false"/>
          <w:color w:val="1A1A2E"/>
          <w:sz w:val="22"/>
          <w:szCs w:val="22"/>
        </w:rPr>
        <w:t xml:space="preserve">Technology — Lowest average discount (~12–13%)</w:t>
      </w:r>
    </w:p>
    <w:p>
      <w:pPr>
        <w:spacing w:after="0" w:before="60"/>
      </w:pPr>
    </w:p>
    <w:p>
      <w:pPr>
        <w:spacing w:after="80" w:before="80"/>
        <w:jc w:val="both"/>
      </w:pPr>
      <w:r>
        <w:rPr>
          <w:rFonts w:ascii="Arial" w:cs="Arial" w:eastAsia="Arial" w:hAnsi="Arial"/>
          <w:b/>
          <w:bCs/>
          <w:i w:val="false"/>
          <w:iCs w:val="false"/>
          <w:color w:val="1A1A2E"/>
          <w:sz w:val="22"/>
          <w:szCs w:val="22"/>
        </w:rPr>
        <w:t xml:space="preserve">Which products drive profit despite discounts — and which are hurting profitability?</w:t>
      </w:r>
    </w:p>
    <w:p>
      <w:pPr>
        <w:spacing w:after="80" w:before="80"/>
        <w:jc w:val="both"/>
      </w:pPr>
      <w:r>
        <w:rPr>
          <w:rFonts w:ascii="Arial" w:cs="Arial" w:eastAsia="Arial" w:hAnsi="Arial"/>
          <w:b w:val="false"/>
          <w:bCs w:val="false"/>
          <w:i w:val="false"/>
          <w:iCs w:val="false"/>
          <w:color w:val="1A1A2E"/>
          <w:sz w:val="22"/>
          <w:szCs w:val="22"/>
        </w:rPr>
        <w:t xml:space="preserve">From the Profit Margin by Discount analysis, notable findings include:</w:t>
      </w:r>
    </w:p>
    <w:p>
      <w:pPr>
        <w:pStyle w:val="ListParagraph"/>
        <w:numPr>
          <w:ilvl w:val="0"/>
          <w:numId w:val="2"/>
        </w:numPr>
        <w:spacing w:after="40" w:before="40"/>
      </w:pPr>
      <w:r>
        <w:rPr>
          <w:rFonts w:ascii="Arial" w:cs="Arial" w:eastAsia="Arial" w:hAnsi="Arial"/>
          <w:b/>
          <w:bCs/>
          <w:color w:val="003366"/>
          <w:sz w:val="22"/>
          <w:szCs w:val="22"/>
        </w:rPr>
        <w:t xml:space="preserve">Canon imageCLASS 2200 Advanced Copier — Generates very high profit despite discounts, representing a model product for the discount-profit balance.</w:t>
      </w:r>
    </w:p>
    <w:p>
      <w:pPr>
        <w:spacing w:after="0" w:before="80"/>
      </w:pPr>
    </w:p>
    <w:p>
      <w:pPr>
        <w:spacing w:after="160" w:before="160"/>
        <w:jc w:val="center"/>
      </w:pPr>
      <w:r>
        <w:drawing>
          <wp:inline distT="0" distB="0" distL="0" distR="0">
            <wp:extent cx="5953125" cy="30575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953125" cy="3057525"/>
                    </a:xfrm>
                    <a:prstGeom prst="rect">
                      <a:avLst/>
                    </a:prstGeom>
                  </pic:spPr>
                </pic:pic>
              </a:graphicData>
            </a:graphic>
          </wp:inline>
        </w:drawing>
      </w:r>
    </w:p>
    <w:p>
      <w:pPr>
        <w:spacing w:after="120" w:before="0"/>
        <w:jc w:val="center"/>
      </w:pPr>
      <w:r>
        <w:rPr>
          <w:rFonts w:ascii="Arial" w:cs="Arial" w:eastAsia="Arial" w:hAnsi="Arial"/>
          <w:i/>
          <w:iCs/>
          <w:color w:val="4A4A6A"/>
          <w:sz w:val="18"/>
          <w:szCs w:val="18"/>
        </w:rPr>
        <w:t xml:space="preserve">Figure 5: Discount Impact Analysis — Profit Margin by Discount Rate and Category</w:t>
      </w:r>
    </w:p>
    <w:p>
      <w:pPr>
        <w:spacing w:after="0" w:before="120"/>
      </w:pPr>
    </w:p>
    <w:p>
      <w:pPr>
        <w:pBdr>
          <w:bottom w:val="single" w:color="003366" w:sz="6" w:space="4"/>
        </w:pBdr>
        <w:spacing w:after="120" w:before="360"/>
      </w:pPr>
      <w:r>
        <w:rPr>
          <w:rFonts w:ascii="Arial" w:cs="Arial" w:eastAsia="Arial" w:hAnsi="Arial"/>
          <w:b/>
          <w:bCs/>
          <w:caps/>
          <w:color w:val="003366"/>
          <w:sz w:val="28"/>
          <w:szCs w:val="28"/>
        </w:rPr>
        <w:t xml:space="preserve">Section 7 — Recommendations</w:t>
      </w:r>
    </w:p>
    <w:p>
      <w:pPr>
        <w:spacing w:after="0" w:before="60"/>
      </w:pPr>
    </w:p>
    <w:p>
      <w:pPr>
        <w:spacing w:after="80" w:before="80"/>
        <w:jc w:val="both"/>
      </w:pPr>
      <w:r>
        <w:rPr>
          <w:rFonts w:ascii="Arial" w:cs="Arial" w:eastAsia="Arial" w:hAnsi="Arial"/>
          <w:b w:val="false"/>
          <w:bCs w:val="false"/>
          <w:i w:val="false"/>
          <w:iCs w:val="false"/>
          <w:color w:val="1A1A2E"/>
          <w:sz w:val="22"/>
          <w:szCs w:val="22"/>
        </w:rPr>
        <w:t xml:space="preserve">Based on the insights derived from this analysis, the following strategic recommendations are proposed to improve profitability and operational efficiency:</w:t>
      </w:r>
    </w:p>
    <w:p>
      <w:pPr>
        <w:spacing w:after="0" w:before="80"/>
      </w:pPr>
    </w:p>
    <w:p>
      <w:pPr>
        <w:spacing w:after="80" w:before="240"/>
      </w:pPr>
      <w:r>
        <w:rPr>
          <w:rFonts w:ascii="Arial" w:cs="Arial" w:eastAsia="Arial" w:hAnsi="Arial"/>
          <w:b/>
          <w:bCs/>
          <w:color w:val="1A5276"/>
          <w:sz w:val="24"/>
          <w:szCs w:val="24"/>
        </w:rPr>
        <w:t xml:space="preserve">Discount Strategy Optimisation</w:t>
      </w:r>
    </w:p>
    <w:p>
      <w:pPr>
        <w:pStyle w:val="ListParagraph"/>
        <w:numPr>
          <w:ilvl w:val="0"/>
          <w:numId w:val="2"/>
        </w:numPr>
        <w:spacing w:after="40" w:before="40"/>
      </w:pPr>
      <w:r>
        <w:rPr>
          <w:rFonts w:ascii="Arial" w:cs="Arial" w:eastAsia="Arial" w:hAnsi="Arial"/>
          <w:b w:val="false"/>
          <w:bCs w:val="false"/>
          <w:color w:val="1A1A2E"/>
          <w:sz w:val="22"/>
          <w:szCs w:val="22"/>
        </w:rPr>
        <w:t xml:space="preserve">Review and reduce high discount rates on Furniture, which yields the highest discounts but the lowest profitability.</w:t>
      </w:r>
    </w:p>
    <w:p>
      <w:pPr>
        <w:pStyle w:val="ListParagraph"/>
        <w:numPr>
          <w:ilvl w:val="0"/>
          <w:numId w:val="2"/>
        </w:numPr>
        <w:spacing w:after="40" w:before="40"/>
      </w:pPr>
      <w:r>
        <w:rPr>
          <w:rFonts w:ascii="Arial" w:cs="Arial" w:eastAsia="Arial" w:hAnsi="Arial"/>
          <w:b w:val="false"/>
          <w:bCs w:val="false"/>
          <w:color w:val="1A1A2E"/>
          <w:sz w:val="22"/>
          <w:szCs w:val="22"/>
        </w:rPr>
        <w:t xml:space="preserve">Implement discount caps by category to prevent margin erosion, particularly for Tables and Bookcases.</w:t>
      </w:r>
    </w:p>
    <w:p>
      <w:pPr>
        <w:pStyle w:val="ListParagraph"/>
        <w:numPr>
          <w:ilvl w:val="0"/>
          <w:numId w:val="2"/>
        </w:numPr>
        <w:spacing w:after="40" w:before="40"/>
      </w:pPr>
      <w:r>
        <w:rPr>
          <w:rFonts w:ascii="Arial" w:cs="Arial" w:eastAsia="Arial" w:hAnsi="Arial"/>
          <w:b w:val="false"/>
          <w:bCs w:val="false"/>
          <w:color w:val="1A1A2E"/>
          <w:sz w:val="22"/>
          <w:szCs w:val="22"/>
        </w:rPr>
        <w:t xml:space="preserve">Adopt a data-driven discount framework that ties promotional rates to profit margin thresholds.</w:t>
      </w:r>
    </w:p>
    <w:p>
      <w:pPr>
        <w:spacing w:after="0" w:before="60"/>
      </w:pPr>
    </w:p>
    <w:p>
      <w:pPr>
        <w:spacing w:after="80" w:before="240"/>
      </w:pPr>
      <w:r>
        <w:rPr>
          <w:rFonts w:ascii="Arial" w:cs="Arial" w:eastAsia="Arial" w:hAnsi="Arial"/>
          <w:b/>
          <w:bCs/>
          <w:color w:val="1A5276"/>
          <w:sz w:val="24"/>
          <w:szCs w:val="24"/>
        </w:rPr>
        <w:t xml:space="preserve">Product Portfolio Management</w:t>
      </w:r>
    </w:p>
    <w:p>
      <w:pPr>
        <w:pStyle w:val="ListParagraph"/>
        <w:numPr>
          <w:ilvl w:val="0"/>
          <w:numId w:val="2"/>
        </w:numPr>
        <w:spacing w:after="40" w:before="40"/>
      </w:pPr>
      <w:r>
        <w:rPr>
          <w:rFonts w:ascii="Arial" w:cs="Arial" w:eastAsia="Arial" w:hAnsi="Arial"/>
          <w:b w:val="false"/>
          <w:bCs w:val="false"/>
          <w:color w:val="1A1A2E"/>
          <w:sz w:val="22"/>
          <w:szCs w:val="22"/>
        </w:rPr>
        <w:t xml:space="preserve">Prioritise promotion and inventory investment in high-margin products: Copiers, Phones, Accessories, Chairs, and Storage.</w:t>
      </w:r>
    </w:p>
    <w:p>
      <w:pPr>
        <w:pStyle w:val="ListParagraph"/>
        <w:numPr>
          <w:ilvl w:val="0"/>
          <w:numId w:val="2"/>
        </w:numPr>
        <w:spacing w:after="40" w:before="40"/>
      </w:pPr>
      <w:r>
        <w:rPr>
          <w:rFonts w:ascii="Arial" w:cs="Arial" w:eastAsia="Arial" w:hAnsi="Arial"/>
          <w:b w:val="false"/>
          <w:bCs w:val="false"/>
          <w:color w:val="1A1A2E"/>
          <w:sz w:val="22"/>
          <w:szCs w:val="22"/>
        </w:rPr>
        <w:t xml:space="preserve">Conduct a profitability review of Tables and Bookcases to determine whether repositioning, repricing, or discontinuation is warranted.</w:t>
      </w:r>
    </w:p>
    <w:p>
      <w:pPr>
        <w:pStyle w:val="ListParagraph"/>
        <w:numPr>
          <w:ilvl w:val="0"/>
          <w:numId w:val="2"/>
        </w:numPr>
        <w:spacing w:after="40" w:before="40"/>
      </w:pPr>
      <w:r>
        <w:rPr>
          <w:rFonts w:ascii="Arial" w:cs="Arial" w:eastAsia="Arial" w:hAnsi="Arial"/>
          <w:b w:val="false"/>
          <w:bCs w:val="false"/>
          <w:color w:val="1A1A2E"/>
          <w:sz w:val="22"/>
          <w:szCs w:val="22"/>
        </w:rPr>
        <w:t xml:space="preserve">Leverage Technology's strong performance by expanding the product line or increasing marketing investment in this category.</w:t>
      </w:r>
    </w:p>
    <w:p>
      <w:pPr>
        <w:spacing w:after="0" w:before="60"/>
      </w:pPr>
    </w:p>
    <w:p>
      <w:pPr>
        <w:spacing w:after="80" w:before="240"/>
      </w:pPr>
      <w:r>
        <w:rPr>
          <w:rFonts w:ascii="Arial" w:cs="Arial" w:eastAsia="Arial" w:hAnsi="Arial"/>
          <w:b/>
          <w:bCs/>
          <w:color w:val="1A5276"/>
          <w:sz w:val="24"/>
          <w:szCs w:val="24"/>
        </w:rPr>
        <w:t xml:space="preserve">Regional Strategy</w:t>
      </w:r>
    </w:p>
    <w:p>
      <w:pPr>
        <w:pStyle w:val="ListParagraph"/>
        <w:numPr>
          <w:ilvl w:val="0"/>
          <w:numId w:val="2"/>
        </w:numPr>
        <w:spacing w:after="40" w:before="40"/>
      </w:pPr>
      <w:r>
        <w:rPr>
          <w:rFonts w:ascii="Arial" w:cs="Arial" w:eastAsia="Arial" w:hAnsi="Arial"/>
          <w:b w:val="false"/>
          <w:bCs w:val="false"/>
          <w:color w:val="1A1A2E"/>
          <w:sz w:val="22"/>
          <w:szCs w:val="22"/>
        </w:rPr>
        <w:t xml:space="preserve">Replicate the pricing and operational strategies of the West region in the South and Central regions to improve their profitability.</w:t>
      </w:r>
    </w:p>
    <w:p>
      <w:pPr>
        <w:pStyle w:val="ListParagraph"/>
        <w:numPr>
          <w:ilvl w:val="0"/>
          <w:numId w:val="2"/>
        </w:numPr>
        <w:spacing w:after="40" w:before="40"/>
      </w:pPr>
      <w:r>
        <w:rPr>
          <w:rFonts w:ascii="Arial" w:cs="Arial" w:eastAsia="Arial" w:hAnsi="Arial"/>
          <w:b w:val="false"/>
          <w:bCs w:val="false"/>
          <w:color w:val="1A1A2E"/>
          <w:sz w:val="22"/>
          <w:szCs w:val="22"/>
        </w:rPr>
        <w:t xml:space="preserve">Conduct a root-cause analysis for loss-making states, especially Texas, to address pricing misalignment or cost inefficiencies.</w:t>
      </w:r>
    </w:p>
    <w:p>
      <w:pPr>
        <w:pStyle w:val="ListParagraph"/>
        <w:numPr>
          <w:ilvl w:val="0"/>
          <w:numId w:val="2"/>
        </w:numPr>
        <w:spacing w:after="40" w:before="40"/>
      </w:pPr>
      <w:r>
        <w:rPr>
          <w:rFonts w:ascii="Arial" w:cs="Arial" w:eastAsia="Arial" w:hAnsi="Arial"/>
          <w:b w:val="false"/>
          <w:bCs w:val="false"/>
          <w:color w:val="1A1A2E"/>
          <w:sz w:val="22"/>
          <w:szCs w:val="22"/>
        </w:rPr>
        <w:t xml:space="preserve">Target California and other high-performing states for upselling and cross-selling campaigns.</w:t>
      </w:r>
    </w:p>
    <w:p>
      <w:pPr>
        <w:spacing w:after="0" w:before="60"/>
      </w:pPr>
    </w:p>
    <w:p>
      <w:pPr>
        <w:spacing w:after="80" w:before="240"/>
      </w:pPr>
      <w:r>
        <w:rPr>
          <w:rFonts w:ascii="Arial" w:cs="Arial" w:eastAsia="Arial" w:hAnsi="Arial"/>
          <w:b/>
          <w:bCs/>
          <w:color w:val="1A5276"/>
          <w:sz w:val="24"/>
          <w:szCs w:val="24"/>
        </w:rPr>
        <w:t xml:space="preserve">Seasonal Planning</w:t>
      </w:r>
    </w:p>
    <w:p>
      <w:pPr>
        <w:pStyle w:val="ListParagraph"/>
        <w:numPr>
          <w:ilvl w:val="0"/>
          <w:numId w:val="2"/>
        </w:numPr>
        <w:spacing w:after="40" w:before="40"/>
      </w:pPr>
      <w:r>
        <w:rPr>
          <w:rFonts w:ascii="Arial" w:cs="Arial" w:eastAsia="Arial" w:hAnsi="Arial"/>
          <w:b w:val="false"/>
          <w:bCs w:val="false"/>
          <w:color w:val="1A1A2E"/>
          <w:sz w:val="22"/>
          <w:szCs w:val="22"/>
        </w:rPr>
        <w:t xml:space="preserve">Anticipate demand spikes in September and November by aligning inventory, staffing, and marketing efforts accordingly.</w:t>
      </w:r>
    </w:p>
    <w:p>
      <w:pPr>
        <w:pStyle w:val="ListParagraph"/>
        <w:numPr>
          <w:ilvl w:val="0"/>
          <w:numId w:val="2"/>
        </w:numPr>
        <w:spacing w:after="40" w:before="40"/>
      </w:pPr>
      <w:r>
        <w:rPr>
          <w:rFonts w:ascii="Arial" w:cs="Arial" w:eastAsia="Arial" w:hAnsi="Arial"/>
          <w:b w:val="false"/>
          <w:bCs w:val="false"/>
          <w:color w:val="1A1A2E"/>
          <w:sz w:val="22"/>
          <w:szCs w:val="22"/>
        </w:rPr>
        <w:t xml:space="preserve">Investigate the October sales dip and develop targeted promotional campaigns to smooth seasonal volatility.</w:t>
      </w:r>
    </w:p>
    <w:p>
      <w:pPr>
        <w:spacing w:after="0" w:before="60"/>
      </w:pPr>
    </w:p>
    <w:p>
      <w:pPr>
        <w:spacing w:after="80" w:before="240"/>
      </w:pPr>
      <w:r>
        <w:rPr>
          <w:rFonts w:ascii="Arial" w:cs="Arial" w:eastAsia="Arial" w:hAnsi="Arial"/>
          <w:b/>
          <w:bCs/>
          <w:color w:val="1A5276"/>
          <w:sz w:val="24"/>
          <w:szCs w:val="24"/>
        </w:rPr>
        <w:t xml:space="preserve">Customer Segment Focus</w:t>
      </w:r>
    </w:p>
    <w:p>
      <w:pPr>
        <w:pStyle w:val="ListParagraph"/>
        <w:numPr>
          <w:ilvl w:val="0"/>
          <w:numId w:val="2"/>
        </w:numPr>
        <w:spacing w:after="40" w:before="40"/>
      </w:pPr>
      <w:r>
        <w:rPr>
          <w:rFonts w:ascii="Arial" w:cs="Arial" w:eastAsia="Arial" w:hAnsi="Arial"/>
          <w:b w:val="false"/>
          <w:bCs w:val="false"/>
          <w:color w:val="1A1A2E"/>
          <w:sz w:val="22"/>
          <w:szCs w:val="22"/>
        </w:rPr>
        <w:t xml:space="preserve">Invest in loyalty and retention programmes for the Consumer segment, which drives the highest revenue and profit.</w:t>
      </w:r>
    </w:p>
    <w:p>
      <w:pPr>
        <w:pStyle w:val="ListParagraph"/>
        <w:numPr>
          <w:ilvl w:val="0"/>
          <w:numId w:val="2"/>
        </w:numPr>
        <w:spacing w:after="40" w:before="40"/>
      </w:pPr>
      <w:r>
        <w:rPr>
          <w:rFonts w:ascii="Arial" w:cs="Arial" w:eastAsia="Arial" w:hAnsi="Arial"/>
          <w:b w:val="false"/>
          <w:bCs w:val="false"/>
          <w:color w:val="1A1A2E"/>
          <w:sz w:val="22"/>
          <w:szCs w:val="22"/>
        </w:rPr>
        <w:t xml:space="preserve">Develop targeted growth strategies for the Corporate and Home Office segments to diversify revenue sources.</w:t>
      </w:r>
    </w:p>
    <w:p>
      <w:pPr>
        <w:spacing w:after="0" w:before="200"/>
      </w:pPr>
    </w:p>
    <w:p>
      <w:pPr>
        <w:pBdr>
          <w:top w:val="single" w:color="003366" w:sz="4" w:space="6"/>
        </w:pBdr>
        <w:spacing w:after="80" w:before="160"/>
        <w:jc w:val="center"/>
      </w:pPr>
      <w:r>
        <w:rPr>
          <w:rFonts w:ascii="Arial" w:cs="Arial" w:eastAsia="Arial" w:hAnsi="Arial"/>
          <w:i/>
          <w:iCs/>
          <w:color w:val="4A4A6A"/>
          <w:sz w:val="20"/>
          <w:szCs w:val="20"/>
        </w:rPr>
        <w:t xml:space="preserve">End of Report</w:t>
      </w:r>
    </w:p>
    <w:p>
      <w:pPr>
        <w:jc w:val="center"/>
      </w:pPr>
      <w:r>
        <w:rPr>
          <w:rFonts w:ascii="Arial" w:cs="Arial" w:eastAsia="Arial" w:hAnsi="Arial"/>
          <w:color w:val="4A4A6A"/>
          <w:sz w:val="18"/>
          <w:szCs w:val="18"/>
        </w:rPr>
        <w:t xml:space="preserve">Prepared by Felix Adedokun  |  April 2026  |  Classification: Public</w:t>
      </w:r>
    </w:p>
    <w:sectPr>
      <w:headerReference w:type="default" r:id="rId7"/>
      <w:footerReference w:type="default" r:id="rId8"/>
      <w:pgSz w:w="12240" w:h="15840" w:orient="portrait"/>
      <w:pgMar w:top="1080" w:right="108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03366" w:sz="4" w:space="4"/>
      </w:pBdr>
      <w:tabs>
        <w:tab w:val="right" w:pos="9026"/>
      </w:tabs>
      <w:spacing w:after="0" w:before="80"/>
    </w:pPr>
    <w:r>
      <w:rPr>
        <w:rFonts w:ascii="Arial" w:cs="Arial" w:eastAsia="Arial" w:hAnsi="Arial"/>
        <w:color w:val="4A4A6A"/>
        <w:sz w:val="16"/>
        <w:szCs w:val="16"/>
      </w:rPr>
      <w:t xml:space="preserve">Prepared by Felix Adedokun  |  12th April 2026</w:t>
    </w:r>
    <w:r>
      <w:rPr>
        <w:rFonts w:ascii="Arial" w:cs="Arial" w:eastAsia="Arial" w:hAnsi="Arial"/>
        <w:color w:val="4A4A6A"/>
        <w:sz w:val="16"/>
        <w:szCs w:val="16"/>
      </w:rPr>
      <w:t xml:space="preserve">	Page </w:t>
    </w:r>
    <w:fldSimple w:instr="[object Objec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03366" w:sz="6" w:space="4"/>
      </w:pBdr>
      <w:spacing w:after="120" w:before="0"/>
    </w:pPr>
    <w:r>
      <w:rPr>
        <w:rFonts w:ascii="Arial" w:cs="Arial" w:eastAsia="Arial" w:hAnsi="Arial"/>
        <w:b/>
        <w:bCs/>
        <w:color w:val="003366"/>
        <w:sz w:val="16"/>
        <w:szCs w:val="16"/>
      </w:rPr>
      <w:t xml:space="preserve">MARKETING &amp; FINANCIAL ANALYSIS REPORT  |  SUPERSTORE  |  2014–2017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2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aps/>
      <w:color w:val="003366"/>
      <w:sz w:val="28"/>
      <w:szCs w:val="28"/>
    </w:rPr>
  </w:style>
  <w:style w:type="paragraph" w:styleId="Heading2">
    <w:name w:val="Heading 2"/>
    <w:basedOn w:val="Normal"/>
    <w:next w:val="Normal"/>
    <w:qFormat/>
    <w:pPr>
      <w:spacing w:after="80" w:before="240"/>
      <w:outlineLvl w:val="1"/>
    </w:pPr>
    <w:rPr>
      <w:rFonts w:ascii="Arial" w:cs="Arial" w:eastAsia="Arial" w:hAnsi="Arial"/>
      <w:b/>
      <w:bCs/>
      <w:color w:val="1A527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23340ba71d42f183a490678c686d5eca12e021fd.png"/><Relationship Id="rId10" Type="http://schemas.openxmlformats.org/officeDocument/2006/relationships/image" Target="media/1fde418976a40338ccf231d0b938aa361fc1805c.png"/><Relationship Id="rId11" Type="http://schemas.openxmlformats.org/officeDocument/2006/relationships/image" Target="media/d5159e7081587d911569050bfb71a08bd76ffe50.png"/><Relationship Id="rId12" Type="http://schemas.openxmlformats.org/officeDocument/2006/relationships/image" Target="media/b3443bd81091937c1c40fed4153b35807e09e3f2.png"/><Relationship Id="rId13" Type="http://schemas.openxmlformats.org/officeDocument/2006/relationships/image" Target="media/2e3019a7716425b431b7bd6158d41bf1d03fddcf.png"/><Relationship Id="rId14"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2026-04-29T22:21:07.109Z</dcterms:created>
  <dcterms:modified xsi:type="dcterms:W3CDTF">2026-04-29T22:21:07.110Z</dcterms:modified>
</cp:coreProperties>
</file>

<file path=docProps/custom.xml><?xml version="1.0" encoding="utf-8"?>
<Properties xmlns="http://schemas.openxmlformats.org/officeDocument/2006/custom-properties" xmlns:vt="http://schemas.openxmlformats.org/officeDocument/2006/docPropsVTypes"/>
</file>